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0D0D30">
      <w:pPr>
        <w:spacing w:line="360" w:lineRule="auto"/>
        <w:jc w:val="center"/>
        <w:rPr>
          <w:rFonts w:hint="eastAsia" w:ascii="Arial" w:hAnsi="Arial" w:cs="Arial"/>
          <w:b/>
          <w:color w:val="000000"/>
          <w:sz w:val="44"/>
        </w:rPr>
      </w:pPr>
    </w:p>
    <w:p w14:paraId="44D48AD0">
      <w:pPr>
        <w:spacing w:line="360" w:lineRule="auto"/>
        <w:jc w:val="center"/>
        <w:rPr>
          <w:rFonts w:hint="eastAsia" w:ascii="Arial" w:hAnsi="Arial" w:cs="Arial"/>
          <w:b/>
          <w:color w:val="000000"/>
          <w:sz w:val="44"/>
        </w:rPr>
      </w:pPr>
    </w:p>
    <w:p w14:paraId="28B7D5E3">
      <w:pPr>
        <w:spacing w:line="360" w:lineRule="auto"/>
        <w:jc w:val="center"/>
        <w:rPr>
          <w:rFonts w:hint="eastAsia" w:ascii="Arial" w:hAnsi="Arial" w:cs="Arial"/>
          <w:b/>
          <w:color w:val="000000"/>
          <w:sz w:val="44"/>
        </w:rPr>
      </w:pPr>
    </w:p>
    <w:p w14:paraId="2D07A0C9">
      <w:pPr>
        <w:spacing w:line="360" w:lineRule="auto"/>
        <w:jc w:val="center"/>
        <w:rPr>
          <w:rFonts w:ascii="Arial" w:hAnsi="Arial" w:cs="Arial"/>
          <w:b/>
          <w:color w:val="000000"/>
          <w:sz w:val="44"/>
        </w:rPr>
      </w:pPr>
      <w:r>
        <w:rPr>
          <w:rFonts w:hint="eastAsia" w:ascii="Arial" w:hAnsi="Arial" w:cs="Arial"/>
          <w:b/>
          <w:color w:val="000000"/>
          <w:sz w:val="44"/>
        </w:rPr>
        <w:t>中国实验动物学会</w:t>
      </w:r>
    </w:p>
    <w:p w14:paraId="203BA26B">
      <w:pPr>
        <w:spacing w:line="360" w:lineRule="auto"/>
        <w:jc w:val="center"/>
        <w:rPr>
          <w:rFonts w:ascii="Arial" w:hAnsi="Arial" w:cs="Arial"/>
          <w:b/>
          <w:color w:val="000000"/>
          <w:sz w:val="44"/>
        </w:rPr>
      </w:pPr>
      <w:r>
        <w:rPr>
          <w:rFonts w:hint="eastAsia" w:ascii="Arial" w:hAnsi="Arial" w:cs="Arial"/>
          <w:b/>
          <w:color w:val="000000"/>
          <w:sz w:val="44"/>
        </w:rPr>
        <w:t>团体</w:t>
      </w:r>
      <w:r>
        <w:rPr>
          <w:rFonts w:ascii="Arial" w:hAnsi="Arial" w:cs="Arial"/>
          <w:b/>
          <w:color w:val="000000"/>
          <w:sz w:val="44"/>
        </w:rPr>
        <w:t>标准</w:t>
      </w:r>
    </w:p>
    <w:p w14:paraId="7E9B1767">
      <w:pPr>
        <w:pStyle w:val="11"/>
        <w:spacing w:line="360" w:lineRule="auto"/>
        <w:rPr>
          <w:rFonts w:ascii="Arial" w:hAnsi="Arial" w:cs="Arial"/>
          <w:b/>
          <w:color w:val="000000"/>
          <w:sz w:val="48"/>
          <w:szCs w:val="48"/>
        </w:rPr>
      </w:pPr>
    </w:p>
    <w:p w14:paraId="550245D3">
      <w:pPr>
        <w:pStyle w:val="11"/>
        <w:spacing w:line="360" w:lineRule="auto"/>
        <w:rPr>
          <w:rFonts w:ascii="Arial" w:hAnsi="Arial" w:cs="Arial"/>
          <w:b/>
          <w:color w:val="000000"/>
          <w:sz w:val="48"/>
          <w:szCs w:val="48"/>
        </w:rPr>
      </w:pPr>
      <w:r>
        <w:rPr>
          <w:rFonts w:ascii="Arial" w:hAnsi="Arial" w:cs="Arial"/>
          <w:b/>
          <w:color w:val="000000"/>
          <w:sz w:val="48"/>
          <w:szCs w:val="48"/>
        </w:rPr>
        <w:t xml:space="preserve">《实验动物  </w:t>
      </w:r>
      <w:r>
        <w:rPr>
          <w:rFonts w:hint="eastAsia" w:ascii="Arial" w:hAnsi="Arial" w:cs="Arial"/>
          <w:b/>
          <w:color w:val="000000"/>
          <w:sz w:val="48"/>
          <w:szCs w:val="48"/>
        </w:rPr>
        <w:t>小鼠轮状病毒PCR检测方法</w:t>
      </w:r>
      <w:r>
        <w:rPr>
          <w:rFonts w:ascii="Arial" w:hAnsi="Arial" w:cs="Arial"/>
          <w:b/>
          <w:color w:val="000000"/>
          <w:sz w:val="48"/>
          <w:szCs w:val="48"/>
        </w:rPr>
        <w:t>》</w:t>
      </w:r>
    </w:p>
    <w:p w14:paraId="7F74D2E7">
      <w:pPr>
        <w:spacing w:line="360" w:lineRule="auto"/>
        <w:jc w:val="center"/>
        <w:rPr>
          <w:rFonts w:ascii="Arial" w:hAnsi="Arial" w:cs="Arial"/>
          <w:b/>
          <w:color w:val="000000"/>
          <w:sz w:val="48"/>
          <w:szCs w:val="48"/>
        </w:rPr>
      </w:pPr>
    </w:p>
    <w:p w14:paraId="6CEFF278">
      <w:pPr>
        <w:spacing w:line="360" w:lineRule="auto"/>
        <w:jc w:val="center"/>
        <w:rPr>
          <w:rFonts w:ascii="Arial" w:hAnsi="Arial" w:cs="Arial"/>
          <w:b/>
          <w:color w:val="000000"/>
          <w:sz w:val="48"/>
          <w:szCs w:val="48"/>
        </w:rPr>
      </w:pPr>
      <w:r>
        <w:rPr>
          <w:rFonts w:ascii="Arial" w:hAnsi="Arial" w:cs="Arial"/>
          <w:b/>
          <w:color w:val="000000"/>
          <w:sz w:val="48"/>
          <w:szCs w:val="48"/>
        </w:rPr>
        <w:t>编制说明</w:t>
      </w:r>
    </w:p>
    <w:p w14:paraId="749C1864">
      <w:pPr>
        <w:spacing w:line="360" w:lineRule="auto"/>
        <w:jc w:val="center"/>
        <w:rPr>
          <w:rFonts w:ascii="Arial" w:hAnsi="Arial" w:cs="Arial"/>
          <w:b/>
          <w:color w:val="000000"/>
          <w:sz w:val="44"/>
        </w:rPr>
      </w:pPr>
    </w:p>
    <w:p w14:paraId="4144B4A1">
      <w:pPr>
        <w:spacing w:line="360" w:lineRule="auto"/>
        <w:jc w:val="center"/>
        <w:rPr>
          <w:rFonts w:ascii="Arial" w:hAnsi="Arial" w:cs="Arial"/>
          <w:b/>
          <w:color w:val="000000"/>
          <w:sz w:val="44"/>
        </w:rPr>
      </w:pPr>
    </w:p>
    <w:p w14:paraId="62F4A679">
      <w:pPr>
        <w:spacing w:line="360" w:lineRule="auto"/>
        <w:jc w:val="center"/>
        <w:rPr>
          <w:rFonts w:hint="eastAsia" w:ascii="Arial" w:hAnsi="Arial" w:cs="Arial"/>
          <w:b/>
          <w:color w:val="000000"/>
          <w:sz w:val="44"/>
        </w:rPr>
      </w:pPr>
    </w:p>
    <w:p w14:paraId="2ADCB211">
      <w:pPr>
        <w:spacing w:line="360" w:lineRule="auto"/>
        <w:jc w:val="center"/>
        <w:rPr>
          <w:rFonts w:hint="eastAsia" w:ascii="Arial" w:hAnsi="Arial" w:cs="Arial"/>
          <w:b/>
          <w:color w:val="000000"/>
          <w:sz w:val="44"/>
        </w:rPr>
      </w:pPr>
    </w:p>
    <w:p w14:paraId="53D15DA7">
      <w:pPr>
        <w:ind w:firstLine="1546" w:firstLineChars="550"/>
        <w:jc w:val="left"/>
        <w:rPr>
          <w:rFonts w:ascii="宋体" w:hAnsi="宋体"/>
          <w:b/>
          <w:sz w:val="28"/>
          <w:szCs w:val="28"/>
        </w:rPr>
      </w:pPr>
      <w:r>
        <w:rPr>
          <w:rFonts w:hint="eastAsia" w:ascii="宋体" w:hAnsi="宋体"/>
          <w:b/>
          <w:sz w:val="28"/>
          <w:szCs w:val="28"/>
        </w:rPr>
        <w:t>联 系 人：李晓波</w:t>
      </w:r>
    </w:p>
    <w:p w14:paraId="1BD97FE9">
      <w:pPr>
        <w:ind w:firstLine="1546" w:firstLineChars="550"/>
        <w:jc w:val="left"/>
        <w:rPr>
          <w:rFonts w:ascii="宋体" w:hAnsi="宋体"/>
          <w:b/>
          <w:sz w:val="28"/>
          <w:szCs w:val="28"/>
        </w:rPr>
      </w:pPr>
      <w:r>
        <w:rPr>
          <w:rFonts w:hint="eastAsia" w:ascii="宋体" w:hAnsi="宋体"/>
          <w:b/>
          <w:sz w:val="28"/>
          <w:szCs w:val="28"/>
        </w:rPr>
        <w:t>联系电话：010-53852653</w:t>
      </w:r>
    </w:p>
    <w:p w14:paraId="0DF681C6">
      <w:pPr>
        <w:ind w:firstLine="1546" w:firstLineChars="550"/>
        <w:jc w:val="left"/>
        <w:rPr>
          <w:rFonts w:ascii="宋体" w:hAnsi="宋体"/>
          <w:b/>
          <w:sz w:val="28"/>
          <w:szCs w:val="28"/>
        </w:rPr>
      </w:pPr>
      <w:r>
        <w:rPr>
          <w:rFonts w:hint="eastAsia" w:ascii="宋体" w:hAnsi="宋体"/>
          <w:b/>
          <w:sz w:val="28"/>
          <w:szCs w:val="28"/>
        </w:rPr>
        <w:t>编制单位：中国食品药品检定研究院</w:t>
      </w:r>
    </w:p>
    <w:p w14:paraId="2A95C4FB">
      <w:pPr>
        <w:ind w:firstLine="1546" w:firstLineChars="550"/>
        <w:jc w:val="left"/>
        <w:rPr>
          <w:rFonts w:ascii="宋体" w:hAnsi="宋体"/>
          <w:b/>
          <w:sz w:val="28"/>
          <w:szCs w:val="28"/>
        </w:rPr>
      </w:pPr>
      <w:r>
        <w:rPr>
          <w:rFonts w:hint="eastAsia" w:ascii="宋体" w:hAnsi="宋体"/>
          <w:b/>
          <w:sz w:val="28"/>
          <w:szCs w:val="28"/>
        </w:rPr>
        <w:t>时     间： 2023年10月31日</w:t>
      </w:r>
    </w:p>
    <w:p w14:paraId="0B08D9D0">
      <w:pPr>
        <w:pStyle w:val="2"/>
        <w:rPr>
          <w:rFonts w:hint="eastAsia"/>
        </w:rPr>
      </w:pPr>
    </w:p>
    <w:p w14:paraId="40EBAEB4">
      <w:pPr>
        <w:pStyle w:val="11"/>
        <w:spacing w:line="360" w:lineRule="auto"/>
        <w:rPr>
          <w:rFonts w:ascii="Times New Roman" w:eastAsia="宋体"/>
          <w:b/>
          <w:bCs/>
          <w:kern w:val="2"/>
          <w:sz w:val="32"/>
          <w:szCs w:val="32"/>
        </w:rPr>
      </w:pPr>
      <w:r>
        <w:br w:type="page"/>
      </w:r>
      <w:r>
        <w:rPr>
          <w:rFonts w:hint="eastAsia" w:ascii="Times New Roman" w:eastAsia="宋体"/>
          <w:b/>
          <w:bCs/>
          <w:kern w:val="2"/>
          <w:sz w:val="32"/>
          <w:szCs w:val="32"/>
        </w:rPr>
        <w:t>中国实验动物学会团体</w:t>
      </w:r>
      <w:r>
        <w:rPr>
          <w:rFonts w:ascii="Times New Roman" w:eastAsia="宋体"/>
          <w:b/>
          <w:bCs/>
          <w:kern w:val="2"/>
          <w:sz w:val="32"/>
          <w:szCs w:val="32"/>
        </w:rPr>
        <w:t>标准</w:t>
      </w:r>
    </w:p>
    <w:p w14:paraId="4ABF8A5A">
      <w:pPr>
        <w:pStyle w:val="11"/>
        <w:spacing w:line="360" w:lineRule="auto"/>
        <w:rPr>
          <w:rFonts w:hint="eastAsia" w:ascii="Times New Roman" w:eastAsia="宋体"/>
          <w:b/>
          <w:bCs/>
          <w:kern w:val="2"/>
          <w:sz w:val="32"/>
          <w:szCs w:val="32"/>
        </w:rPr>
      </w:pPr>
      <w:r>
        <w:rPr>
          <w:rFonts w:ascii="Times New Roman" w:eastAsia="宋体"/>
          <w:b/>
          <w:bCs/>
          <w:kern w:val="2"/>
          <w:sz w:val="32"/>
          <w:szCs w:val="32"/>
        </w:rPr>
        <w:t xml:space="preserve">《实验动物  </w:t>
      </w:r>
      <w:r>
        <w:rPr>
          <w:rFonts w:hint="eastAsia" w:ascii="Times New Roman" w:eastAsia="宋体"/>
          <w:b/>
          <w:bCs/>
          <w:kern w:val="2"/>
          <w:sz w:val="32"/>
          <w:szCs w:val="32"/>
        </w:rPr>
        <w:t>小鼠轮状病毒PCR检测方法</w:t>
      </w:r>
      <w:r>
        <w:rPr>
          <w:rFonts w:ascii="Times New Roman" w:eastAsia="宋体"/>
          <w:b/>
          <w:bCs/>
          <w:kern w:val="2"/>
          <w:sz w:val="32"/>
          <w:szCs w:val="32"/>
        </w:rPr>
        <w:t>》编制说明</w:t>
      </w:r>
    </w:p>
    <w:p w14:paraId="7B5BD44F">
      <w:pPr>
        <w:pStyle w:val="11"/>
        <w:spacing w:line="360" w:lineRule="auto"/>
        <w:rPr>
          <w:rFonts w:hint="eastAsia" w:ascii="Times New Roman" w:eastAsia="宋体"/>
          <w:b/>
          <w:bCs/>
          <w:kern w:val="2"/>
          <w:sz w:val="32"/>
          <w:szCs w:val="32"/>
        </w:rPr>
      </w:pPr>
    </w:p>
    <w:p w14:paraId="7E170F17">
      <w:pPr>
        <w:numPr>
          <w:ilvl w:val="0"/>
          <w:numId w:val="1"/>
        </w:numPr>
        <w:spacing w:beforeLines="50" w:line="360" w:lineRule="auto"/>
        <w:ind w:firstLine="480" w:firstLineChars="200"/>
        <w:rPr>
          <w:rFonts w:hint="eastAsia" w:ascii="Arial" w:hAnsi="Arial" w:eastAsia="仿宋_GB2312" w:cs="Arial"/>
          <w:sz w:val="24"/>
        </w:rPr>
      </w:pPr>
      <w:r>
        <w:rPr>
          <w:rFonts w:ascii="Arial" w:hAnsi="Arial" w:eastAsia="仿宋_GB2312" w:cs="Arial"/>
          <w:sz w:val="24"/>
        </w:rPr>
        <w:t>工作简况，包括任务来源、协作单位</w:t>
      </w:r>
    </w:p>
    <w:p w14:paraId="171A3A38">
      <w:pPr>
        <w:adjustRightInd w:val="0"/>
        <w:snapToGrid w:val="0"/>
        <w:spacing w:before="50" w:line="360" w:lineRule="auto"/>
        <w:ind w:left="482"/>
        <w:rPr>
          <w:rFonts w:hint="eastAsia" w:ascii="Arial" w:hAnsi="Arial" w:eastAsia="仿宋_GB2312" w:cs="Arial"/>
          <w:sz w:val="24"/>
        </w:rPr>
      </w:pPr>
      <w:r>
        <w:rPr>
          <w:rFonts w:hint="eastAsia" w:ascii="Arial" w:hAnsi="Arial" w:eastAsia="仿宋_GB2312" w:cs="Arial"/>
          <w:sz w:val="24"/>
        </w:rPr>
        <w:t>1、任务来源：中国实验动物学会</w:t>
      </w:r>
    </w:p>
    <w:p w14:paraId="64CC96F5">
      <w:pPr>
        <w:adjustRightInd w:val="0"/>
        <w:snapToGrid w:val="0"/>
        <w:spacing w:before="50" w:line="360" w:lineRule="auto"/>
        <w:ind w:left="482"/>
        <w:rPr>
          <w:rFonts w:hint="eastAsia" w:ascii="Arial" w:hAnsi="Arial" w:eastAsia="仿宋_GB2312" w:cs="Arial"/>
          <w:sz w:val="24"/>
        </w:rPr>
      </w:pPr>
      <w:r>
        <w:rPr>
          <w:rFonts w:hint="eastAsia" w:ascii="Arial" w:hAnsi="Arial" w:eastAsia="仿宋_GB2312" w:cs="Arial"/>
          <w:sz w:val="24"/>
        </w:rPr>
        <w:t>2、牵头单位：中国食品药品检定研究院（下简称中检院）</w:t>
      </w:r>
    </w:p>
    <w:p w14:paraId="65239F1E">
      <w:pPr>
        <w:numPr>
          <w:ilvl w:val="0"/>
          <w:numId w:val="1"/>
        </w:numPr>
        <w:spacing w:beforeLines="50" w:line="360" w:lineRule="auto"/>
        <w:ind w:firstLine="480" w:firstLineChars="200"/>
        <w:rPr>
          <w:rFonts w:hint="eastAsia" w:ascii="Arial" w:hAnsi="Arial" w:eastAsia="仿宋_GB2312" w:cs="Arial"/>
          <w:sz w:val="24"/>
        </w:rPr>
      </w:pPr>
      <w:r>
        <w:rPr>
          <w:rFonts w:ascii="Arial" w:hAnsi="Arial" w:eastAsia="仿宋_GB2312" w:cs="Arial"/>
          <w:sz w:val="24"/>
        </w:rPr>
        <w:t>主要工作过程、标准主要起草人及其所做的工作等；</w:t>
      </w:r>
    </w:p>
    <w:p w14:paraId="56A36662">
      <w:pPr>
        <w:adjustRightInd w:val="0"/>
        <w:snapToGrid w:val="0"/>
        <w:spacing w:before="50" w:line="360" w:lineRule="auto"/>
        <w:ind w:left="480"/>
        <w:rPr>
          <w:rFonts w:eastAsia="仿宋_GB2312"/>
          <w:sz w:val="24"/>
        </w:rPr>
      </w:pPr>
      <w:r>
        <w:rPr>
          <w:rFonts w:eastAsia="仿宋_GB2312"/>
          <w:sz w:val="24"/>
        </w:rPr>
        <w:t>1、主要工作工程：</w:t>
      </w:r>
    </w:p>
    <w:p w14:paraId="3D18895B">
      <w:pPr>
        <w:adjustRightInd w:val="0"/>
        <w:snapToGrid w:val="0"/>
        <w:spacing w:line="360" w:lineRule="auto"/>
        <w:ind w:firstLine="480" w:firstLineChars="200"/>
        <w:rPr>
          <w:rFonts w:eastAsia="仿宋_GB2312"/>
          <w:sz w:val="24"/>
        </w:rPr>
      </w:pPr>
      <w:r>
        <w:rPr>
          <w:rFonts w:eastAsia="仿宋_GB2312"/>
          <w:sz w:val="24"/>
        </w:rPr>
        <w:t>（1）202</w:t>
      </w:r>
      <w:r>
        <w:rPr>
          <w:rFonts w:hint="eastAsia" w:eastAsia="仿宋_GB2312"/>
          <w:sz w:val="24"/>
        </w:rPr>
        <w:t>3</w:t>
      </w:r>
      <w:r>
        <w:rPr>
          <w:rFonts w:eastAsia="仿宋_GB2312"/>
          <w:sz w:val="24"/>
        </w:rPr>
        <w:t>年1月-2023年3月，在NCBI上查找</w:t>
      </w:r>
      <w:r>
        <w:rPr>
          <w:rFonts w:hint="eastAsia" w:eastAsia="仿宋_GB2312"/>
          <w:sz w:val="24"/>
        </w:rPr>
        <w:t>并比对小鼠轮状病毒NSP5基因</w:t>
      </w:r>
      <w:r>
        <w:rPr>
          <w:rFonts w:eastAsia="仿宋_GB2312"/>
          <w:sz w:val="24"/>
        </w:rPr>
        <w:t>序列，找出共有的保守区域，设计合成一对特异性引物和一条特异性探针，建立</w:t>
      </w:r>
      <w:r>
        <w:rPr>
          <w:rFonts w:hint="eastAsia" w:eastAsia="仿宋_GB2312"/>
          <w:sz w:val="24"/>
        </w:rPr>
        <w:t>小鼠轮状病毒</w:t>
      </w:r>
      <w:r>
        <w:rPr>
          <w:rFonts w:eastAsia="仿宋_GB2312"/>
          <w:sz w:val="24"/>
        </w:rPr>
        <w:t>实时荧光PCR检测方法，考察方法的线性范围、灵敏度、特异性、重复性。</w:t>
      </w:r>
    </w:p>
    <w:p w14:paraId="5BB3CF62">
      <w:pPr>
        <w:adjustRightInd w:val="0"/>
        <w:snapToGrid w:val="0"/>
        <w:spacing w:line="360" w:lineRule="auto"/>
        <w:ind w:firstLine="480" w:firstLineChars="200"/>
        <w:rPr>
          <w:rFonts w:eastAsia="仿宋_GB2312"/>
          <w:sz w:val="24"/>
        </w:rPr>
      </w:pPr>
      <w:r>
        <w:rPr>
          <w:rFonts w:eastAsia="仿宋_GB2312"/>
          <w:sz w:val="24"/>
        </w:rPr>
        <w:t>（2）2023年5月-6月，中检院制备样品及检测试剂，委托北京中科基因技术股份有限公司、北京奥秘佳得医药科技有限公司和北京云菱计量检测有限公司三家实验室进行方法验证，并出具报告。</w:t>
      </w:r>
    </w:p>
    <w:p w14:paraId="4F1559EB">
      <w:pPr>
        <w:adjustRightInd w:val="0"/>
        <w:snapToGrid w:val="0"/>
        <w:spacing w:line="360" w:lineRule="auto"/>
        <w:ind w:firstLine="480" w:firstLineChars="200"/>
        <w:rPr>
          <w:rFonts w:eastAsia="仿宋_GB2312"/>
          <w:sz w:val="24"/>
        </w:rPr>
      </w:pPr>
      <w:r>
        <w:rPr>
          <w:rFonts w:eastAsia="仿宋_GB2312"/>
          <w:sz w:val="24"/>
        </w:rPr>
        <w:t>（3）2023年7月，通过邮件向中国实验动物学会标准化委员会提交了团体标准的草案和预研材料。</w:t>
      </w:r>
    </w:p>
    <w:p w14:paraId="23BEEB97">
      <w:pPr>
        <w:adjustRightInd w:val="0"/>
        <w:snapToGrid w:val="0"/>
        <w:spacing w:line="360" w:lineRule="auto"/>
        <w:ind w:firstLine="480" w:firstLineChars="200"/>
        <w:rPr>
          <w:rFonts w:eastAsia="仿宋_GB2312"/>
          <w:sz w:val="24"/>
        </w:rPr>
      </w:pPr>
      <w:r>
        <w:rPr>
          <w:rFonts w:eastAsia="仿宋_GB2312"/>
          <w:sz w:val="24"/>
        </w:rPr>
        <w:t>（4）2023年8月，通过中国实验动物学会标准化委员会标准立项答辩，本标准通过立项，并结合专家意见，对标准格式进行了修改。</w:t>
      </w:r>
    </w:p>
    <w:p w14:paraId="3F9E9C1C">
      <w:pPr>
        <w:adjustRightInd w:val="0"/>
        <w:snapToGrid w:val="0"/>
        <w:spacing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2、主要起草人及工作：</w:t>
      </w:r>
    </w:p>
    <w:p w14:paraId="485455F8">
      <w:pPr>
        <w:adjustRightInd w:val="0"/>
        <w:snapToGrid w:val="0"/>
        <w:spacing w:before="50" w:line="360" w:lineRule="auto"/>
        <w:ind w:firstLine="480" w:firstLineChars="200"/>
        <w:rPr>
          <w:rFonts w:hint="eastAsia" w:ascii="Arial" w:hAnsi="Arial" w:eastAsia="仿宋_GB2312" w:cs="Arial"/>
          <w:sz w:val="24"/>
        </w:rPr>
      </w:pPr>
      <w:r>
        <w:rPr>
          <w:rFonts w:hint="eastAsia" w:ascii="Arial" w:hAnsi="Arial" w:eastAsia="仿宋_GB2312" w:cs="Arial"/>
          <w:sz w:val="24"/>
        </w:rPr>
        <w:t>李晓波：标准起草、落实修订意见、专家审评会答辩等；</w:t>
      </w:r>
    </w:p>
    <w:p w14:paraId="0C48C119">
      <w:pPr>
        <w:adjustRightInd w:val="0"/>
        <w:snapToGrid w:val="0"/>
        <w:spacing w:line="360" w:lineRule="auto"/>
        <w:ind w:firstLine="480" w:firstLineChars="200"/>
        <w:rPr>
          <w:rFonts w:hint="eastAsia" w:ascii="Arial" w:hAnsi="Arial" w:eastAsia="仿宋_GB2312" w:cs="Arial"/>
          <w:sz w:val="24"/>
        </w:rPr>
      </w:pPr>
      <w:r>
        <w:rPr>
          <w:rFonts w:hint="eastAsia" w:ascii="Arial" w:hAnsi="Arial" w:eastAsia="仿宋_GB2312" w:cs="Arial"/>
          <w:sz w:val="24"/>
        </w:rPr>
        <w:t>付瑞：标准校对、修改、完善等；</w:t>
      </w:r>
    </w:p>
    <w:p w14:paraId="3CDA8485">
      <w:pPr>
        <w:adjustRightInd w:val="0"/>
        <w:snapToGrid w:val="0"/>
        <w:spacing w:line="360" w:lineRule="auto"/>
        <w:ind w:firstLine="480" w:firstLineChars="200"/>
        <w:rPr>
          <w:rFonts w:hint="eastAsia" w:ascii="Arial" w:hAnsi="Arial" w:eastAsia="仿宋_GB2312" w:cs="Arial"/>
          <w:sz w:val="24"/>
        </w:rPr>
      </w:pPr>
      <w:r>
        <w:rPr>
          <w:rFonts w:hint="eastAsia" w:ascii="Arial" w:hAnsi="Arial" w:eastAsia="仿宋_GB2312" w:cs="Arial"/>
          <w:sz w:val="24"/>
        </w:rPr>
        <w:t>王吉、王淑菁、冯育芳、王莎莎、秦骁</w:t>
      </w:r>
      <w:bookmarkStart w:id="1" w:name="_GoBack"/>
      <w:bookmarkEnd w:id="1"/>
      <w:r>
        <w:rPr>
          <w:rFonts w:hint="eastAsia" w:ascii="Arial" w:hAnsi="Arial" w:eastAsia="仿宋_GB2312" w:cs="Arial"/>
          <w:sz w:val="24"/>
        </w:rPr>
        <w:t>、李威：验证项目审核、方案整理等；</w:t>
      </w:r>
    </w:p>
    <w:p w14:paraId="64B0335A">
      <w:pPr>
        <w:spacing w:beforeLines="50" w:line="360" w:lineRule="auto"/>
        <w:ind w:left="480"/>
        <w:rPr>
          <w:rFonts w:ascii="Arial" w:hAnsi="Arial" w:eastAsia="仿宋_GB2312" w:cs="Arial"/>
          <w:sz w:val="24"/>
        </w:rPr>
      </w:pPr>
      <w:r>
        <w:rPr>
          <w:rFonts w:hint="eastAsia" w:ascii="Arial" w:hAnsi="Arial" w:eastAsia="仿宋_GB2312" w:cs="Arial"/>
          <w:sz w:val="24"/>
        </w:rPr>
        <w:t>岳秉飞：给予指导意见等。</w:t>
      </w:r>
    </w:p>
    <w:p w14:paraId="38C876A4">
      <w:pPr>
        <w:numPr>
          <w:ilvl w:val="0"/>
          <w:numId w:val="1"/>
        </w:numPr>
        <w:spacing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标准编写背景；</w:t>
      </w:r>
    </w:p>
    <w:p w14:paraId="4D7CB8BE">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实验动物质量决定着生命科学等领域研究工作的质量和水平。1994 年，我国制定和颁布了第一套实验动物国家标准，目前实施版为 2001 年、2008 年和 2011 年颁布版本。这些标准的颁布对我国实验动物科学发展起到了一定推动作用，使我国实验动物标准化建设取得了长足的进步。但是随着近年来实验动物新发传染病的爆发，我国实验动物标准体系的不完善，实验动物质量标准化水平等问题也逐渐暴露出来，通过对实验动物病原微生物检测项目对比分析，欧美等国对实验动物的检测要求逐年增高，我国涉及的检测项目相对较少,一些新发的影响实验动物及动物实验的病原未能涉及，还没有将国外已经列为常规检测的项目纳入我国标准之中。</w:t>
      </w:r>
    </w:p>
    <w:p w14:paraId="69CA905F">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国外如欧洲实验动物科学协会联合会( FELASA) 、国际实验动物科学协会(ICLAS) 、美国杰克逊实验室(JAX)、Charles River 公司、Taconic Biosciences 等机构的关于实验动物质量控制方面一直要求严格。随着全球一体化的发展，我国实验动物质量检测标准及相应检测方法已经和国际相关标准存在一定的差距，也使得一些新发病原因标准过低，而随着实验动物新品系带进国内。如小鼠的轮状病毒早已被国外权威机构列入必检范围，但我国的 SPF 级大、小鼠国家标准中却没有列入。</w:t>
      </w:r>
    </w:p>
    <w:p w14:paraId="51583485">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到目前为止，国际上在进出口贸易过程中也加强了对新发疫病的检测力度，为与国际接轨，提升我国实验动物在国际市场上的竞争力，开展相关实验动物新发疫病的检测技术研究十分必要。</w:t>
      </w:r>
    </w:p>
    <w:p w14:paraId="7BEEFC04">
      <w:pPr>
        <w:spacing w:beforeLines="50" w:line="360" w:lineRule="auto"/>
        <w:ind w:firstLine="480" w:firstLineChars="200"/>
        <w:rPr>
          <w:rFonts w:ascii="Arial" w:hAnsi="Arial" w:eastAsia="仿宋_GB2312" w:cs="Arial"/>
          <w:sz w:val="24"/>
        </w:rPr>
      </w:pPr>
      <w:r>
        <w:rPr>
          <w:rFonts w:ascii="Arial" w:hAnsi="Arial" w:eastAsia="仿宋_GB2312" w:cs="Arial"/>
          <w:sz w:val="24"/>
        </w:rPr>
        <w:t>小鼠轮状病毒（Mouse rotavirus，MRV）又称乳鼠流行性腹泻病毒（epizootic diarrhea of infant mice,EDIM）</w:t>
      </w:r>
      <w:r>
        <w:rPr>
          <w:rFonts w:hint="eastAsia" w:ascii="Arial" w:hAnsi="Arial" w:eastAsia="仿宋_GB2312" w:cs="Arial"/>
          <w:sz w:val="24"/>
        </w:rPr>
        <w:t>，属呼肠孤病毒科，基因组为dsRNA,具有高度传染性,</w:t>
      </w:r>
      <w:r>
        <w:rPr>
          <w:rFonts w:ascii="Arial" w:hAnsi="Arial" w:eastAsia="仿宋_GB2312" w:cs="Arial"/>
          <w:sz w:val="24"/>
        </w:rPr>
        <w:t xml:space="preserve"> 所有年龄的小鼠都易感，</w:t>
      </w:r>
      <w:r>
        <w:rPr>
          <w:rFonts w:hint="eastAsia" w:ascii="Arial" w:hAnsi="Arial" w:eastAsia="仿宋_GB2312" w:cs="Arial"/>
          <w:sz w:val="24"/>
        </w:rPr>
        <w:t>可通过气溶胶、污染的垫料以及接触受感染的小鼠传播。</w:t>
      </w:r>
      <w:r>
        <w:rPr>
          <w:rFonts w:ascii="Arial" w:hAnsi="Arial" w:eastAsia="仿宋_GB2312" w:cs="Arial"/>
          <w:sz w:val="24"/>
        </w:rPr>
        <w:t>尽管所有年龄的小鼠都易感，但是只有在14 天以下的小鼠感染后才会出现临床症状。感染了</w:t>
      </w:r>
      <w:r>
        <w:rPr>
          <w:rFonts w:hint="eastAsia" w:ascii="Arial" w:hAnsi="Arial" w:eastAsia="仿宋_GB2312" w:cs="Arial"/>
          <w:sz w:val="24"/>
        </w:rPr>
        <w:t>MRV</w:t>
      </w:r>
      <w:r>
        <w:rPr>
          <w:rFonts w:ascii="Arial" w:hAnsi="Arial" w:eastAsia="仿宋_GB2312" w:cs="Arial"/>
          <w:sz w:val="24"/>
        </w:rPr>
        <w:t>的动物通常表现为油性，黄色腹泻，腹胀。死亡率很低。组织病理学观察在14 天以下的动物身上可以看到肠上皮细胞的空泡形成和绒毛减弱。虽然这些变化诊断的特异性尚无定论。</w:t>
      </w:r>
    </w:p>
    <w:p w14:paraId="41F80057">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MRV感染</w:t>
      </w:r>
      <w:r>
        <w:rPr>
          <w:rFonts w:ascii="Arial" w:hAnsi="Arial" w:eastAsia="仿宋_GB2312" w:cs="Arial"/>
          <w:sz w:val="24"/>
        </w:rPr>
        <w:t>可以影响使用幼鼠进行的实验</w:t>
      </w:r>
      <w:r>
        <w:rPr>
          <w:rFonts w:hint="eastAsia" w:ascii="Arial" w:hAnsi="Arial" w:eastAsia="仿宋_GB2312" w:cs="Arial"/>
          <w:sz w:val="24"/>
        </w:rPr>
        <w:t>，同时</w:t>
      </w:r>
      <w:r>
        <w:rPr>
          <w:rFonts w:ascii="Arial" w:hAnsi="Arial" w:eastAsia="仿宋_GB2312" w:cs="Arial"/>
          <w:sz w:val="24"/>
        </w:rPr>
        <w:t>B 细胞缺陷的小鼠感染病毒会持续排毒</w:t>
      </w:r>
      <w:r>
        <w:rPr>
          <w:rFonts w:hint="eastAsia" w:ascii="Arial" w:hAnsi="Arial" w:eastAsia="仿宋_GB2312" w:cs="Arial"/>
          <w:sz w:val="24"/>
        </w:rPr>
        <w:t>，</w:t>
      </w:r>
      <w:r>
        <w:rPr>
          <w:rFonts w:ascii="Arial" w:hAnsi="Arial" w:eastAsia="仿宋_GB2312" w:cs="Arial"/>
          <w:sz w:val="24"/>
        </w:rPr>
        <w:t>感染后会改变肠道的吸收和肠道酶的浓度</w:t>
      </w:r>
      <w:r>
        <w:rPr>
          <w:rFonts w:hint="eastAsia" w:ascii="Arial" w:hAnsi="Arial" w:eastAsia="仿宋_GB2312" w:cs="Arial"/>
          <w:sz w:val="24"/>
        </w:rPr>
        <w:t>，因而会影响与肠道有关的研究结果。目前国内外还未有MRV的相关检测标准。</w:t>
      </w:r>
    </w:p>
    <w:p w14:paraId="0E7EB2CD">
      <w:pPr>
        <w:spacing w:beforeLines="50" w:line="360" w:lineRule="auto"/>
        <w:ind w:firstLine="480" w:firstLineChars="200"/>
        <w:rPr>
          <w:rFonts w:hint="eastAsia" w:ascii="Arial" w:hAnsi="Arial" w:eastAsia="仿宋_GB2312" w:cs="Arial"/>
          <w:sz w:val="24"/>
        </w:rPr>
      </w:pPr>
      <w:r>
        <w:rPr>
          <w:rFonts w:ascii="Arial" w:hAnsi="Arial" w:eastAsia="仿宋_GB2312" w:cs="Arial"/>
          <w:sz w:val="24"/>
        </w:rPr>
        <w:t>（</w:t>
      </w:r>
      <w:r>
        <w:rPr>
          <w:rFonts w:hint="eastAsia" w:ascii="Arial" w:hAnsi="Arial" w:eastAsia="仿宋_GB2312" w:cs="Arial"/>
          <w:sz w:val="24"/>
        </w:rPr>
        <w:t>四</w:t>
      </w:r>
      <w:r>
        <w:rPr>
          <w:rFonts w:ascii="Arial" w:hAnsi="Arial" w:eastAsia="仿宋_GB2312" w:cs="Arial"/>
          <w:sz w:val="24"/>
        </w:rPr>
        <w:t>） 标准编制原则</w:t>
      </w:r>
      <w:r>
        <w:rPr>
          <w:rFonts w:hint="eastAsia" w:ascii="Arial" w:hAnsi="Arial" w:eastAsia="仿宋_GB2312" w:cs="Arial"/>
          <w:sz w:val="24"/>
        </w:rPr>
        <w:t>；</w:t>
      </w:r>
    </w:p>
    <w:p w14:paraId="67D87061">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本标准按照“科学性、规范性、可行性”的原则，依据中国国家标准《</w:t>
      </w:r>
      <w:r>
        <w:fldChar w:fldCharType="begin"/>
      </w:r>
      <w:r>
        <w:instrText xml:space="preserve"> HYPERLINK "https://baike.baidu.com/item/%E6%A0%87%E5%87%86%E5%8C%96%E5%B7%A5%E4%BD%9C%E5%AF%BC%E5%88%99%E2%80%94%E7%AC%AC1%E9%83%A8%E5%88%86%EF%BC%9A%E6%A0%87%E5%87%86%E7%9A%84%E7%BB%93%E6%9E%84%E5%92%8C%E7%BC%96%E5%86%99/56811503" \t "https://baike.baidu.com/item/%E6%A0%87%E5%87%86%E7%BC%96%E5%88%B6%E8%AF%B4%E6%98%8E%E7%BC%96%E5%86%99%E6%8C%87%E5%8D%97/_blank" </w:instrText>
      </w:r>
      <w:r>
        <w:fldChar w:fldCharType="separate"/>
      </w:r>
      <w:r>
        <w:rPr>
          <w:rFonts w:ascii="Arial" w:hAnsi="Arial" w:eastAsia="仿宋_GB2312" w:cs="Arial"/>
          <w:sz w:val="24"/>
        </w:rPr>
        <w:t>标准化工作导则—第1部分：标准的结构和编写</w:t>
      </w:r>
      <w:r>
        <w:rPr>
          <w:rFonts w:ascii="Arial" w:hAnsi="Arial" w:eastAsia="仿宋_GB2312" w:cs="Arial"/>
          <w:sz w:val="24"/>
        </w:rPr>
        <w:fldChar w:fldCharType="end"/>
      </w:r>
      <w:r>
        <w:rPr>
          <w:rFonts w:ascii="Arial" w:hAnsi="Arial" w:eastAsia="仿宋_GB2312" w:cs="Arial"/>
          <w:sz w:val="24"/>
        </w:rPr>
        <w:t>》（GB/T 1.1-2009）规则起草。</w:t>
      </w:r>
    </w:p>
    <w:p w14:paraId="47ABF777">
      <w:pPr>
        <w:spacing w:beforeLines="50" w:line="360" w:lineRule="auto"/>
        <w:ind w:firstLine="480" w:firstLineChars="200"/>
        <w:rPr>
          <w:rFonts w:hint="eastAsia" w:ascii="Arial" w:hAnsi="Arial" w:eastAsia="仿宋_GB2312" w:cs="Arial"/>
          <w:color w:val="FF0000"/>
          <w:sz w:val="24"/>
        </w:rPr>
      </w:pPr>
      <w:r>
        <w:rPr>
          <w:rFonts w:ascii="Arial" w:hAnsi="Arial" w:eastAsia="仿宋_GB2312" w:cs="Arial"/>
          <w:color w:val="0000FF"/>
          <w:sz w:val="24"/>
        </w:rPr>
        <w:t>（</w:t>
      </w:r>
      <w:r>
        <w:rPr>
          <w:rFonts w:hint="eastAsia" w:ascii="Arial" w:hAnsi="Arial" w:eastAsia="仿宋_GB2312" w:cs="Arial"/>
          <w:color w:val="0000FF"/>
          <w:sz w:val="24"/>
        </w:rPr>
        <w:t>五</w:t>
      </w:r>
      <w:r>
        <w:rPr>
          <w:rFonts w:ascii="Arial" w:hAnsi="Arial" w:eastAsia="仿宋_GB2312" w:cs="Arial"/>
          <w:color w:val="0000FF"/>
          <w:sz w:val="24"/>
        </w:rPr>
        <w:t>） 确定标准主要内容（如技术指标、参数、公式、性能要求、试验方法、检验规则等）的论据（包括试验、统计数据），</w:t>
      </w:r>
      <w:r>
        <w:rPr>
          <w:rFonts w:ascii="Arial" w:hAnsi="Arial" w:eastAsia="仿宋_GB2312" w:cs="Arial"/>
          <w:color w:val="FF0000"/>
          <w:sz w:val="24"/>
        </w:rPr>
        <w:t>修订标准时，应增列新旧标准水平的对比；</w:t>
      </w:r>
    </w:p>
    <w:p w14:paraId="0B046D8C">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本标准规定了小鼠轮状病毒实时荧光PCR检测方法，方法可检测的最低质粒浓度为10</w:t>
      </w:r>
      <w:r>
        <w:rPr>
          <w:rFonts w:ascii="Arial" w:hAnsi="Arial" w:eastAsia="仿宋_GB2312" w:cs="Arial"/>
          <w:sz w:val="24"/>
        </w:rPr>
        <w:t>copies∕mL</w:t>
      </w:r>
      <w:r>
        <w:rPr>
          <w:rFonts w:hint="eastAsia" w:ascii="Arial" w:hAnsi="Arial" w:eastAsia="仿宋_GB2312" w:cs="Arial"/>
          <w:sz w:val="24"/>
        </w:rPr>
        <w:t>，并可特异检测MRV阳性样品。</w:t>
      </w:r>
    </w:p>
    <w:p w14:paraId="33DC70DA">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1、引物探针设计</w:t>
      </w:r>
    </w:p>
    <w:p w14:paraId="5D86A0C0">
      <w:pPr>
        <w:spacing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通过比对NCBI上MRV的NSP5基因序列，选择保守区域，设计合成一对特异性引物和一条特异性探针（图1），序列见表1。</w:t>
      </w:r>
      <w:r>
        <w:rPr>
          <w:rFonts w:ascii="Arial" w:hAnsi="Arial" w:eastAsia="仿宋_GB2312" w:cs="Arial"/>
          <w:sz w:val="24"/>
        </w:rPr>
        <w:pict>
          <v:shape id="_x0000_i1025" o:spt="75" type="#_x0000_t75" style="height:82.5pt;width:414.85pt;" filled="f" o:preferrelative="t" stroked="f" coordsize="21600,21600">
            <v:path/>
            <v:fill on="f" focussize="0,0"/>
            <v:stroke on="f" joinstyle="miter"/>
            <v:imagedata r:id="rId4" o:title=""/>
            <o:lock v:ext="edit" aspectratio="t"/>
            <w10:wrap type="none"/>
            <w10:anchorlock/>
          </v:shape>
        </w:pict>
      </w:r>
    </w:p>
    <w:p w14:paraId="437DA7FB">
      <w:pPr>
        <w:spacing w:beforeLines="50" w:line="360" w:lineRule="auto"/>
        <w:ind w:firstLine="420" w:firstLineChars="200"/>
        <w:jc w:val="center"/>
        <w:rPr>
          <w:rFonts w:hint="eastAsia" w:ascii="Arial" w:hAnsi="Arial" w:eastAsia="仿宋_GB2312" w:cs="Arial"/>
          <w:szCs w:val="21"/>
        </w:rPr>
      </w:pPr>
      <w:r>
        <w:rPr>
          <w:rFonts w:hint="eastAsia" w:ascii="Arial" w:hAnsi="Arial" w:eastAsia="仿宋_GB2312" w:cs="Arial"/>
          <w:szCs w:val="21"/>
        </w:rPr>
        <w:t>图1  MRV实时荧光PCR引物探针位置</w:t>
      </w:r>
    </w:p>
    <w:p w14:paraId="2F08BA84">
      <w:pPr>
        <w:spacing w:beforeLines="50" w:line="360" w:lineRule="auto"/>
        <w:ind w:firstLine="420" w:firstLineChars="200"/>
        <w:jc w:val="center"/>
        <w:rPr>
          <w:rFonts w:ascii="Arial" w:hAnsi="Arial" w:eastAsia="仿宋_GB2312" w:cs="Arial"/>
          <w:szCs w:val="21"/>
        </w:rPr>
      </w:pPr>
    </w:p>
    <w:p w14:paraId="665704D4">
      <w:pPr>
        <w:spacing w:beforeLines="50" w:line="360" w:lineRule="auto"/>
        <w:ind w:firstLine="420" w:firstLineChars="200"/>
        <w:jc w:val="center"/>
        <w:rPr>
          <w:rFonts w:ascii="Arial" w:hAnsi="Arial" w:eastAsia="仿宋_GB2312" w:cs="Arial"/>
          <w:szCs w:val="21"/>
        </w:rPr>
      </w:pPr>
      <w:r>
        <w:rPr>
          <w:rFonts w:hint="eastAsia" w:ascii="Arial" w:hAnsi="Arial" w:eastAsia="仿宋_GB2312" w:cs="Arial"/>
          <w:szCs w:val="21"/>
        </w:rPr>
        <w:t>表1</w:t>
      </w:r>
      <w:r>
        <w:rPr>
          <w:rFonts w:ascii="Arial" w:hAnsi="Arial" w:eastAsia="仿宋_GB2312" w:cs="Arial"/>
          <w:szCs w:val="21"/>
        </w:rPr>
        <w:t xml:space="preserve"> </w:t>
      </w:r>
      <w:r>
        <w:rPr>
          <w:rFonts w:hint="eastAsia" w:ascii="Arial" w:hAnsi="Arial" w:eastAsia="仿宋_GB2312" w:cs="Arial"/>
          <w:szCs w:val="21"/>
        </w:rPr>
        <w:t>实时荧光</w:t>
      </w:r>
      <w:r>
        <w:rPr>
          <w:rFonts w:ascii="Arial" w:hAnsi="Arial" w:eastAsia="仿宋_GB2312" w:cs="Arial"/>
          <w:szCs w:val="21"/>
        </w:rPr>
        <w:t>RT-PCR</w:t>
      </w:r>
      <w:r>
        <w:rPr>
          <w:rFonts w:hint="eastAsia" w:ascii="Arial" w:hAnsi="Arial" w:eastAsia="仿宋_GB2312" w:cs="Arial"/>
          <w:szCs w:val="21"/>
        </w:rPr>
        <w:t>扩增引物和探针</w:t>
      </w:r>
    </w:p>
    <w:tbl>
      <w:tblPr>
        <w:tblStyle w:val="8"/>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4394"/>
      </w:tblGrid>
      <w:tr w14:paraId="0613978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435" w:type="dxa"/>
            <w:tcBorders>
              <w:bottom w:val="single" w:color="auto" w:sz="4" w:space="0"/>
              <w:right w:val="nil"/>
            </w:tcBorders>
          </w:tcPr>
          <w:p w14:paraId="6C910E6B">
            <w:pPr>
              <w:spacing w:beforeLines="50" w:line="360" w:lineRule="auto"/>
              <w:ind w:firstLine="420" w:firstLineChars="200"/>
              <w:rPr>
                <w:rFonts w:ascii="Arial" w:hAnsi="Arial" w:eastAsia="仿宋_GB2312" w:cs="Arial"/>
                <w:szCs w:val="21"/>
              </w:rPr>
            </w:pPr>
            <w:bookmarkStart w:id="0" w:name="_Hlk141364135"/>
            <w:r>
              <w:rPr>
                <w:rFonts w:hint="eastAsia" w:ascii="Arial" w:hAnsi="Arial" w:eastAsia="仿宋_GB2312" w:cs="Arial"/>
                <w:szCs w:val="21"/>
              </w:rPr>
              <w:t>引物和探针名称</w:t>
            </w:r>
          </w:p>
        </w:tc>
        <w:tc>
          <w:tcPr>
            <w:tcW w:w="4394" w:type="dxa"/>
            <w:tcBorders>
              <w:left w:val="nil"/>
              <w:bottom w:val="single" w:color="auto" w:sz="4" w:space="0"/>
            </w:tcBorders>
          </w:tcPr>
          <w:p w14:paraId="466A39A1">
            <w:pPr>
              <w:spacing w:beforeLines="50" w:line="360" w:lineRule="auto"/>
              <w:ind w:firstLine="420" w:firstLineChars="200"/>
              <w:rPr>
                <w:rFonts w:ascii="Arial" w:hAnsi="Arial" w:eastAsia="仿宋_GB2312" w:cs="Arial"/>
                <w:szCs w:val="21"/>
              </w:rPr>
            </w:pPr>
            <w:r>
              <w:rPr>
                <w:rFonts w:hint="eastAsia" w:ascii="Arial" w:hAnsi="Arial" w:eastAsia="仿宋_GB2312" w:cs="Arial"/>
                <w:szCs w:val="21"/>
              </w:rPr>
              <w:t>引物和探针序列</w:t>
            </w:r>
            <w:r>
              <w:rPr>
                <w:rFonts w:ascii="Arial" w:hAnsi="Arial" w:eastAsia="仿宋_GB2312" w:cs="Arial"/>
                <w:szCs w:val="21"/>
              </w:rPr>
              <w:t>(5’-3’)</w:t>
            </w:r>
          </w:p>
        </w:tc>
      </w:tr>
      <w:tr w14:paraId="0CEA34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5" w:type="dxa"/>
            <w:tcBorders>
              <w:bottom w:val="nil"/>
              <w:right w:val="nil"/>
            </w:tcBorders>
            <w:vAlign w:val="center"/>
          </w:tcPr>
          <w:p w14:paraId="35BCD9A5">
            <w:pPr>
              <w:spacing w:beforeLines="50" w:line="360" w:lineRule="auto"/>
              <w:ind w:firstLine="420" w:firstLineChars="200"/>
              <w:rPr>
                <w:rFonts w:ascii="Arial" w:hAnsi="Arial" w:eastAsia="仿宋_GB2312" w:cs="Arial"/>
                <w:szCs w:val="21"/>
              </w:rPr>
            </w:pPr>
            <w:r>
              <w:rPr>
                <w:rFonts w:hint="eastAsia" w:ascii="Arial" w:hAnsi="Arial" w:eastAsia="仿宋_GB2312" w:cs="Arial"/>
                <w:szCs w:val="21"/>
              </w:rPr>
              <w:t>上游引物</w:t>
            </w:r>
          </w:p>
        </w:tc>
        <w:tc>
          <w:tcPr>
            <w:tcW w:w="4394" w:type="dxa"/>
            <w:tcBorders>
              <w:left w:val="nil"/>
              <w:bottom w:val="nil"/>
            </w:tcBorders>
            <w:vAlign w:val="center"/>
          </w:tcPr>
          <w:p w14:paraId="7957C8E8">
            <w:pPr>
              <w:spacing w:beforeLines="50" w:line="360" w:lineRule="auto"/>
              <w:ind w:firstLine="420" w:firstLineChars="200"/>
              <w:rPr>
                <w:rFonts w:ascii="Arial" w:hAnsi="Arial" w:eastAsia="仿宋_GB2312" w:cs="Arial"/>
                <w:szCs w:val="21"/>
              </w:rPr>
            </w:pPr>
            <w:r>
              <w:rPr>
                <w:rFonts w:ascii="Arial" w:hAnsi="Arial" w:eastAsia="仿宋_GB2312" w:cs="Arial"/>
                <w:szCs w:val="21"/>
              </w:rPr>
              <w:t>TGCCGCCTGAGGAGTACACT</w:t>
            </w:r>
          </w:p>
        </w:tc>
      </w:tr>
      <w:tr w14:paraId="46B3D8C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2435" w:type="dxa"/>
            <w:tcBorders>
              <w:top w:val="nil"/>
              <w:bottom w:val="nil"/>
              <w:right w:val="nil"/>
            </w:tcBorders>
            <w:vAlign w:val="center"/>
          </w:tcPr>
          <w:p w14:paraId="481A7D87">
            <w:pPr>
              <w:spacing w:beforeLines="50" w:line="360" w:lineRule="auto"/>
              <w:ind w:firstLine="420" w:firstLineChars="200"/>
              <w:rPr>
                <w:rFonts w:ascii="Arial" w:hAnsi="Arial" w:eastAsia="仿宋_GB2312" w:cs="Arial"/>
                <w:szCs w:val="21"/>
              </w:rPr>
            </w:pPr>
            <w:r>
              <w:rPr>
                <w:rFonts w:hint="eastAsia" w:ascii="Arial" w:hAnsi="Arial" w:eastAsia="仿宋_GB2312" w:cs="Arial"/>
                <w:szCs w:val="21"/>
              </w:rPr>
              <w:t>下游引物</w:t>
            </w:r>
          </w:p>
        </w:tc>
        <w:tc>
          <w:tcPr>
            <w:tcW w:w="4394" w:type="dxa"/>
            <w:tcBorders>
              <w:top w:val="nil"/>
              <w:left w:val="nil"/>
              <w:bottom w:val="nil"/>
            </w:tcBorders>
            <w:vAlign w:val="center"/>
          </w:tcPr>
          <w:p w14:paraId="0E3C72EB">
            <w:pPr>
              <w:spacing w:beforeLines="50" w:line="360" w:lineRule="auto"/>
              <w:ind w:firstLine="420" w:firstLineChars="200"/>
              <w:rPr>
                <w:rFonts w:ascii="Arial" w:hAnsi="Arial" w:eastAsia="仿宋_GB2312" w:cs="Arial"/>
                <w:szCs w:val="21"/>
              </w:rPr>
            </w:pPr>
            <w:r>
              <w:rPr>
                <w:rFonts w:ascii="Arial" w:hAnsi="Arial" w:eastAsia="仿宋_GB2312" w:cs="Arial"/>
                <w:szCs w:val="21"/>
              </w:rPr>
              <w:t>GGCCCCCGTCAATTCTTT</w:t>
            </w:r>
          </w:p>
        </w:tc>
      </w:tr>
      <w:tr w14:paraId="584287C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2435" w:type="dxa"/>
            <w:tcBorders>
              <w:top w:val="nil"/>
              <w:right w:val="nil"/>
            </w:tcBorders>
            <w:vAlign w:val="center"/>
          </w:tcPr>
          <w:p w14:paraId="530ABEF3">
            <w:pPr>
              <w:spacing w:beforeLines="50" w:line="360" w:lineRule="auto"/>
              <w:ind w:firstLine="420" w:firstLineChars="200"/>
              <w:rPr>
                <w:rFonts w:ascii="Arial" w:hAnsi="Arial" w:eastAsia="仿宋_GB2312" w:cs="Arial"/>
                <w:szCs w:val="21"/>
              </w:rPr>
            </w:pPr>
            <w:r>
              <w:rPr>
                <w:rFonts w:hint="eastAsia" w:ascii="Arial" w:hAnsi="Arial" w:eastAsia="仿宋_GB2312" w:cs="Arial"/>
                <w:szCs w:val="21"/>
              </w:rPr>
              <w:t>探针</w:t>
            </w:r>
          </w:p>
        </w:tc>
        <w:tc>
          <w:tcPr>
            <w:tcW w:w="4394" w:type="dxa"/>
            <w:tcBorders>
              <w:top w:val="nil"/>
              <w:left w:val="nil"/>
            </w:tcBorders>
            <w:vAlign w:val="center"/>
          </w:tcPr>
          <w:p w14:paraId="0968C46E">
            <w:pPr>
              <w:spacing w:beforeLines="50" w:line="360" w:lineRule="auto"/>
              <w:ind w:firstLine="420" w:firstLineChars="200"/>
              <w:rPr>
                <w:rFonts w:ascii="Arial" w:hAnsi="Arial" w:eastAsia="仿宋_GB2312" w:cs="Arial"/>
                <w:szCs w:val="21"/>
              </w:rPr>
            </w:pPr>
            <w:r>
              <w:rPr>
                <w:rFonts w:ascii="Arial" w:hAnsi="Arial" w:eastAsia="仿宋_GB2312" w:cs="Arial"/>
                <w:szCs w:val="21"/>
              </w:rPr>
              <w:t>FAM - TCATGCTCACAATCAC –</w:t>
            </w:r>
            <w:r>
              <w:rPr>
                <w:rFonts w:hint="eastAsia" w:ascii="Arial" w:hAnsi="Arial" w:eastAsia="仿宋_GB2312" w:cs="Arial"/>
                <w:szCs w:val="21"/>
              </w:rPr>
              <w:t>MGB</w:t>
            </w:r>
          </w:p>
        </w:tc>
      </w:tr>
      <w:bookmarkEnd w:id="0"/>
    </w:tbl>
    <w:p w14:paraId="486A9C0A">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2、</w:t>
      </w:r>
      <w:r>
        <w:rPr>
          <w:rFonts w:ascii="Arial" w:hAnsi="Arial" w:eastAsia="仿宋_GB2312" w:cs="Arial"/>
          <w:sz w:val="24"/>
        </w:rPr>
        <w:t>方法的敏感性</w:t>
      </w:r>
    </w:p>
    <w:p w14:paraId="01506169">
      <w:pPr>
        <w:spacing w:beforeLines="50" w:line="360" w:lineRule="auto"/>
        <w:ind w:firstLine="480" w:firstLineChars="200"/>
        <w:rPr>
          <w:rFonts w:ascii="Arial" w:hAnsi="Arial" w:eastAsia="仿宋_GB2312" w:cs="Arial"/>
          <w:sz w:val="24"/>
        </w:rPr>
      </w:pPr>
      <w:r>
        <w:rPr>
          <w:rFonts w:ascii="Arial" w:hAnsi="Arial" w:eastAsia="仿宋_GB2312" w:cs="Arial"/>
          <w:sz w:val="24"/>
        </w:rPr>
        <w:t>将</w:t>
      </w:r>
      <w:r>
        <w:rPr>
          <w:rFonts w:hint="eastAsia" w:ascii="Arial" w:hAnsi="Arial" w:eastAsia="仿宋_GB2312" w:cs="Arial"/>
          <w:sz w:val="24"/>
        </w:rPr>
        <w:t>MRV</w:t>
      </w:r>
      <w:r>
        <w:rPr>
          <w:rFonts w:ascii="Arial" w:hAnsi="Arial" w:eastAsia="仿宋_GB2312" w:cs="Arial"/>
          <w:sz w:val="24"/>
        </w:rPr>
        <w:t>质粒标准品10倍系列稀释成1×10</w:t>
      </w:r>
      <w:r>
        <w:rPr>
          <w:rFonts w:ascii="Arial" w:hAnsi="Arial" w:eastAsia="仿宋_GB2312" w:cs="Arial"/>
          <w:sz w:val="24"/>
          <w:vertAlign w:val="superscript"/>
        </w:rPr>
        <w:t>8</w:t>
      </w:r>
      <w:r>
        <w:rPr>
          <w:rFonts w:ascii="Arial" w:hAnsi="Arial" w:eastAsia="仿宋_GB2312" w:cs="Arial"/>
          <w:sz w:val="24"/>
        </w:rPr>
        <w:t>、1×10</w:t>
      </w:r>
      <w:r>
        <w:rPr>
          <w:rFonts w:ascii="Arial" w:hAnsi="Arial" w:eastAsia="仿宋_GB2312" w:cs="Arial"/>
          <w:sz w:val="24"/>
          <w:vertAlign w:val="superscript"/>
        </w:rPr>
        <w:t>7</w:t>
      </w:r>
      <w:r>
        <w:rPr>
          <w:rFonts w:ascii="Arial" w:hAnsi="Arial" w:eastAsia="仿宋_GB2312" w:cs="Arial"/>
          <w:sz w:val="24"/>
        </w:rPr>
        <w:t>、1×10</w:t>
      </w:r>
      <w:r>
        <w:rPr>
          <w:rFonts w:ascii="Arial" w:hAnsi="Arial" w:eastAsia="仿宋_GB2312" w:cs="Arial"/>
          <w:sz w:val="24"/>
          <w:vertAlign w:val="superscript"/>
        </w:rPr>
        <w:t>6</w:t>
      </w:r>
      <w:r>
        <w:rPr>
          <w:rFonts w:ascii="Arial" w:hAnsi="Arial" w:eastAsia="仿宋_GB2312" w:cs="Arial"/>
          <w:sz w:val="24"/>
        </w:rPr>
        <w:t>、1×10</w:t>
      </w:r>
      <w:r>
        <w:rPr>
          <w:rFonts w:ascii="Arial" w:hAnsi="Arial" w:eastAsia="仿宋_GB2312" w:cs="Arial"/>
          <w:sz w:val="24"/>
          <w:vertAlign w:val="superscript"/>
        </w:rPr>
        <w:t>5</w:t>
      </w:r>
      <w:r>
        <w:rPr>
          <w:rFonts w:ascii="Arial" w:hAnsi="Arial" w:eastAsia="仿宋_GB2312" w:cs="Arial"/>
          <w:sz w:val="24"/>
        </w:rPr>
        <w:t>、1×10</w:t>
      </w:r>
      <w:r>
        <w:rPr>
          <w:rFonts w:ascii="Arial" w:hAnsi="Arial" w:eastAsia="仿宋_GB2312" w:cs="Arial"/>
          <w:sz w:val="24"/>
          <w:vertAlign w:val="superscript"/>
        </w:rPr>
        <w:t>4</w:t>
      </w:r>
      <w:r>
        <w:rPr>
          <w:rFonts w:ascii="Arial" w:hAnsi="Arial" w:eastAsia="仿宋_GB2312" w:cs="Arial"/>
          <w:sz w:val="24"/>
        </w:rPr>
        <w:t>、1×10</w:t>
      </w:r>
      <w:r>
        <w:rPr>
          <w:rFonts w:ascii="Arial" w:hAnsi="Arial" w:eastAsia="仿宋_GB2312" w:cs="Arial"/>
          <w:sz w:val="24"/>
          <w:vertAlign w:val="superscript"/>
        </w:rPr>
        <w:t>3</w:t>
      </w:r>
      <w:r>
        <w:rPr>
          <w:rFonts w:ascii="Arial" w:hAnsi="Arial" w:eastAsia="仿宋_GB2312" w:cs="Arial"/>
          <w:sz w:val="24"/>
        </w:rPr>
        <w:t>、1×10</w:t>
      </w:r>
      <w:r>
        <w:rPr>
          <w:rFonts w:ascii="Arial" w:hAnsi="Arial" w:eastAsia="仿宋_GB2312" w:cs="Arial"/>
          <w:sz w:val="24"/>
          <w:vertAlign w:val="superscript"/>
        </w:rPr>
        <w:t>2</w:t>
      </w:r>
      <w:r>
        <w:rPr>
          <w:rFonts w:ascii="Arial" w:hAnsi="Arial" w:eastAsia="仿宋_GB2312" w:cs="Arial"/>
          <w:sz w:val="24"/>
        </w:rPr>
        <w:t>、10</w:t>
      </w:r>
      <w:r>
        <w:rPr>
          <w:rFonts w:ascii="Arial" w:hAnsi="Arial" w:eastAsia="仿宋_GB2312" w:cs="Arial"/>
          <w:sz w:val="24"/>
          <w:vertAlign w:val="superscript"/>
        </w:rPr>
        <w:t>1</w:t>
      </w:r>
      <w:r>
        <w:rPr>
          <w:rFonts w:ascii="Arial" w:hAnsi="Arial" w:eastAsia="仿宋_GB2312" w:cs="Arial"/>
          <w:sz w:val="24"/>
        </w:rPr>
        <w:t>共</w:t>
      </w:r>
      <w:r>
        <w:rPr>
          <w:rFonts w:hint="eastAsia" w:ascii="Arial" w:hAnsi="Arial" w:eastAsia="仿宋_GB2312" w:cs="Arial"/>
          <w:sz w:val="24"/>
        </w:rPr>
        <w:t>8</w:t>
      </w:r>
      <w:r>
        <w:rPr>
          <w:rFonts w:ascii="Arial" w:hAnsi="Arial" w:eastAsia="仿宋_GB2312" w:cs="Arial"/>
          <w:sz w:val="24"/>
        </w:rPr>
        <w:t>个稀释度，</w:t>
      </w:r>
      <w:r>
        <w:rPr>
          <w:rFonts w:hint="eastAsia" w:ascii="Arial" w:hAnsi="Arial" w:eastAsia="仿宋_GB2312" w:cs="Arial"/>
          <w:sz w:val="24"/>
        </w:rPr>
        <w:t>MRV 实时荧光PCR方法可检测最低10</w:t>
      </w:r>
      <w:r>
        <w:rPr>
          <w:rFonts w:ascii="Arial" w:hAnsi="Arial" w:eastAsia="仿宋_GB2312" w:cs="Arial"/>
          <w:sz w:val="24"/>
        </w:rPr>
        <w:t>copies∕mL</w:t>
      </w:r>
      <w:r>
        <w:rPr>
          <w:rFonts w:hint="eastAsia" w:ascii="Arial" w:hAnsi="Arial" w:eastAsia="仿宋_GB2312" w:cs="Arial"/>
          <w:sz w:val="24"/>
        </w:rPr>
        <w:t>（图2）</w:t>
      </w:r>
    </w:p>
    <w:p w14:paraId="323C05D0">
      <w:pPr>
        <w:spacing w:beforeLines="50" w:line="360" w:lineRule="auto"/>
        <w:ind w:firstLine="480" w:firstLineChars="200"/>
        <w:jc w:val="center"/>
        <w:rPr>
          <w:rFonts w:ascii="Arial" w:hAnsi="Arial" w:eastAsia="仿宋_GB2312" w:cs="Arial"/>
          <w:sz w:val="24"/>
        </w:rPr>
      </w:pPr>
      <w:r>
        <w:rPr>
          <w:rFonts w:ascii="Arial" w:hAnsi="Arial" w:eastAsia="仿宋_GB2312" w:cs="Arial"/>
          <w:sz w:val="24"/>
        </w:rPr>
        <w:pict>
          <v:shape id="_x0000_i1026" o:spt="75" type="#_x0000_t75" style="height:151.2pt;width:269.7pt;" filled="f" o:preferrelative="t" stroked="f" coordsize="21600,21600">
            <v:path/>
            <v:fill on="f" focussize="0,0"/>
            <v:stroke on="f" joinstyle="miter"/>
            <v:imagedata r:id="rId5" o:title="MRV敏感性"/>
            <o:lock v:ext="edit" aspectratio="t"/>
            <w10:wrap type="none"/>
            <w10:anchorlock/>
          </v:shape>
        </w:pict>
      </w:r>
    </w:p>
    <w:p w14:paraId="0BEFCABA">
      <w:pPr>
        <w:spacing w:beforeLines="50" w:line="360" w:lineRule="auto"/>
        <w:ind w:firstLine="440" w:firstLineChars="200"/>
        <w:jc w:val="center"/>
        <w:rPr>
          <w:rFonts w:ascii="Arial" w:hAnsi="Arial" w:eastAsia="仿宋_GB2312" w:cs="Arial"/>
          <w:sz w:val="22"/>
        </w:rPr>
      </w:pPr>
      <w:r>
        <w:rPr>
          <w:rFonts w:hint="eastAsia" w:ascii="Arial" w:hAnsi="Arial" w:eastAsia="仿宋_GB2312" w:cs="Arial"/>
          <w:sz w:val="22"/>
        </w:rPr>
        <w:t>图</w:t>
      </w:r>
      <w:r>
        <w:rPr>
          <w:rFonts w:ascii="Arial" w:hAnsi="Arial" w:eastAsia="仿宋_GB2312" w:cs="Arial"/>
          <w:sz w:val="22"/>
        </w:rPr>
        <w:t>2</w:t>
      </w:r>
      <w:r>
        <w:rPr>
          <w:rFonts w:hint="eastAsia" w:ascii="Arial" w:hAnsi="Arial" w:eastAsia="仿宋_GB2312" w:cs="Arial"/>
          <w:sz w:val="22"/>
        </w:rPr>
        <w:t xml:space="preserve">  MRV实时荧光PCR敏感性检测结果</w:t>
      </w:r>
    </w:p>
    <w:p w14:paraId="264615C1">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3、方法</w:t>
      </w:r>
      <w:r>
        <w:rPr>
          <w:rFonts w:ascii="Arial" w:hAnsi="Arial" w:eastAsia="仿宋_GB2312" w:cs="Arial"/>
          <w:sz w:val="24"/>
        </w:rPr>
        <w:t>特异性</w:t>
      </w:r>
    </w:p>
    <w:p w14:paraId="7D3028A2">
      <w:pPr>
        <w:spacing w:beforeLines="50" w:line="360" w:lineRule="auto"/>
        <w:ind w:firstLine="480" w:firstLineChars="200"/>
        <w:rPr>
          <w:rFonts w:ascii="Arial" w:hAnsi="Arial" w:eastAsia="仿宋_GB2312" w:cs="Arial"/>
          <w:sz w:val="24"/>
        </w:rPr>
      </w:pPr>
      <w:r>
        <w:rPr>
          <w:rFonts w:ascii="Arial" w:hAnsi="Arial" w:eastAsia="仿宋_GB2312" w:cs="Arial"/>
          <w:sz w:val="24"/>
        </w:rPr>
        <w:t>设定</w:t>
      </w:r>
      <w:r>
        <w:rPr>
          <w:rFonts w:hint="eastAsia" w:ascii="Arial" w:hAnsi="Arial" w:eastAsia="仿宋_GB2312" w:cs="Arial"/>
          <w:sz w:val="24"/>
        </w:rPr>
        <w:t>无RNA酶</w:t>
      </w:r>
      <w:r>
        <w:rPr>
          <w:rFonts w:ascii="Arial" w:hAnsi="Arial" w:eastAsia="仿宋_GB2312" w:cs="Arial"/>
          <w:sz w:val="24"/>
        </w:rPr>
        <w:t>水</w:t>
      </w:r>
      <w:r>
        <w:rPr>
          <w:rFonts w:hint="eastAsia" w:ascii="Arial" w:hAnsi="Arial" w:eastAsia="仿宋_GB2312" w:cs="Arial"/>
          <w:sz w:val="24"/>
        </w:rPr>
        <w:t>为阴性对照，</w:t>
      </w:r>
      <w:r>
        <w:rPr>
          <w:rFonts w:ascii="Arial" w:hAnsi="Arial" w:eastAsia="仿宋_GB2312" w:cs="Arial"/>
          <w:sz w:val="24"/>
        </w:rPr>
        <w:t>以</w:t>
      </w:r>
      <w:r>
        <w:rPr>
          <w:rFonts w:hint="eastAsia" w:ascii="Arial" w:hAnsi="Arial" w:eastAsia="仿宋_GB2312" w:cs="Arial"/>
          <w:sz w:val="24"/>
        </w:rPr>
        <w:t>ICLAS样品（编号PEP2017-49-8，已确认MRV阳性</w:t>
      </w:r>
      <w:r>
        <w:rPr>
          <w:rFonts w:ascii="Arial" w:hAnsi="Arial" w:eastAsia="仿宋_GB2312" w:cs="Arial"/>
          <w:sz w:val="24"/>
        </w:rPr>
        <w:t>）、</w:t>
      </w:r>
      <w:r>
        <w:rPr>
          <w:rFonts w:hint="eastAsia" w:ascii="Arial" w:hAnsi="Arial" w:eastAsia="仿宋_GB2312" w:cs="Arial"/>
          <w:sz w:val="24"/>
        </w:rPr>
        <w:t>小鼠诺如病毒</w:t>
      </w:r>
      <w:r>
        <w:rPr>
          <w:rFonts w:ascii="Arial" w:hAnsi="Arial" w:eastAsia="仿宋_GB2312" w:cs="Arial"/>
          <w:sz w:val="24"/>
        </w:rPr>
        <w:t>、</w:t>
      </w:r>
      <w:r>
        <w:rPr>
          <w:rFonts w:hint="eastAsia" w:ascii="Arial" w:hAnsi="Arial" w:eastAsia="仿宋_GB2312" w:cs="Arial"/>
          <w:sz w:val="24"/>
        </w:rPr>
        <w:t>呼肠孤病毒3型</w:t>
      </w:r>
      <w:r>
        <w:rPr>
          <w:rFonts w:ascii="Arial" w:hAnsi="Arial" w:eastAsia="仿宋_GB2312" w:cs="Arial"/>
          <w:sz w:val="24"/>
        </w:rPr>
        <w:t>作为模板进行实时荧光PCR检测，</w:t>
      </w:r>
      <w:r>
        <w:rPr>
          <w:rFonts w:hint="eastAsia" w:ascii="Arial" w:hAnsi="Arial" w:eastAsia="仿宋_GB2312" w:cs="Arial"/>
          <w:sz w:val="24"/>
        </w:rPr>
        <w:t>表明可以特异检测MRV，对照病毒及阴性对照均无反应（图3）</w:t>
      </w:r>
      <w:r>
        <w:rPr>
          <w:rFonts w:ascii="Arial" w:hAnsi="Arial" w:eastAsia="仿宋_GB2312" w:cs="Arial"/>
          <w:sz w:val="24"/>
        </w:rPr>
        <w:t>。</w:t>
      </w:r>
    </w:p>
    <w:p w14:paraId="5A0D1ECC">
      <w:pPr>
        <w:spacing w:beforeLines="50" w:line="360" w:lineRule="auto"/>
        <w:ind w:firstLine="480" w:firstLineChars="200"/>
        <w:rPr>
          <w:rFonts w:ascii="Arial" w:hAnsi="Arial" w:eastAsia="仿宋_GB2312" w:cs="Arial"/>
          <w:sz w:val="24"/>
        </w:rPr>
      </w:pPr>
      <w:r>
        <w:rPr>
          <w:rFonts w:ascii="Arial" w:hAnsi="Arial" w:eastAsia="仿宋_GB2312" w:cs="Arial"/>
          <w:sz w:val="24"/>
        </w:rPr>
        <w:pict>
          <v:shape id="_x0000_i1027" o:spt="75" type="#_x0000_t75" style="height:181.65pt;width:323.45pt;" filled="f" o:preferrelative="t" stroked="f" coordsize="21600,21600">
            <v:path/>
            <v:fill on="f" focussize="0,0"/>
            <v:stroke on="f" joinstyle="miter"/>
            <v:imagedata r:id="rId6" o:title="MRV特异性"/>
            <o:lock v:ext="edit" aspectratio="t"/>
            <w10:wrap type="none"/>
            <w10:anchorlock/>
          </v:shape>
        </w:pict>
      </w:r>
      <w:r>
        <w:rPr>
          <w:rFonts w:ascii="Arial" w:hAnsi="Arial" w:eastAsia="仿宋_GB2312" w:cs="Arial"/>
          <w:sz w:val="24"/>
        </w:rPr>
        <w:t xml:space="preserve"> </w:t>
      </w:r>
    </w:p>
    <w:p w14:paraId="0B40511D">
      <w:pPr>
        <w:spacing w:beforeLines="50" w:line="360" w:lineRule="auto"/>
        <w:ind w:firstLine="440" w:firstLineChars="200"/>
        <w:jc w:val="center"/>
        <w:rPr>
          <w:rFonts w:ascii="Arial" w:hAnsi="Arial" w:eastAsia="仿宋_GB2312" w:cs="Arial"/>
          <w:sz w:val="22"/>
        </w:rPr>
      </w:pPr>
      <w:r>
        <w:rPr>
          <w:rFonts w:hint="eastAsia" w:ascii="Arial" w:hAnsi="Arial" w:eastAsia="仿宋_GB2312" w:cs="Arial"/>
          <w:sz w:val="22"/>
        </w:rPr>
        <w:t>图</w:t>
      </w:r>
      <w:r>
        <w:rPr>
          <w:rFonts w:ascii="Arial" w:hAnsi="Arial" w:eastAsia="仿宋_GB2312" w:cs="Arial"/>
          <w:sz w:val="22"/>
        </w:rPr>
        <w:t>3</w:t>
      </w:r>
      <w:r>
        <w:rPr>
          <w:rFonts w:hint="eastAsia" w:ascii="Arial" w:hAnsi="Arial" w:eastAsia="仿宋_GB2312" w:cs="Arial"/>
          <w:sz w:val="22"/>
        </w:rPr>
        <w:t xml:space="preserve">  MRV实时荧光PCR特异性检测结果</w:t>
      </w:r>
    </w:p>
    <w:p w14:paraId="21BACC8F">
      <w:pPr>
        <w:spacing w:beforeLines="50" w:line="360" w:lineRule="auto"/>
        <w:ind w:firstLine="480" w:firstLineChars="200"/>
        <w:rPr>
          <w:rFonts w:ascii="Arial" w:hAnsi="Arial" w:eastAsia="仿宋_GB2312" w:cs="Arial"/>
          <w:sz w:val="24"/>
        </w:rPr>
      </w:pPr>
    </w:p>
    <w:p w14:paraId="4288F447">
      <w:pPr>
        <w:spacing w:beforeLines="50" w:line="360" w:lineRule="auto"/>
        <w:ind w:firstLine="480" w:firstLineChars="200"/>
        <w:rPr>
          <w:rFonts w:hint="eastAsia" w:ascii="Arial" w:hAnsi="Arial" w:eastAsia="仿宋_GB2312" w:cs="Arial"/>
          <w:color w:val="0000FF"/>
          <w:sz w:val="24"/>
        </w:rPr>
      </w:pPr>
      <w:r>
        <w:rPr>
          <w:rFonts w:ascii="Arial" w:hAnsi="Arial" w:eastAsia="仿宋_GB2312" w:cs="Arial"/>
          <w:color w:val="0000FF"/>
          <w:sz w:val="24"/>
        </w:rPr>
        <w:t>（</w:t>
      </w:r>
      <w:r>
        <w:rPr>
          <w:rFonts w:hint="eastAsia" w:ascii="Arial" w:hAnsi="Arial" w:eastAsia="仿宋_GB2312" w:cs="Arial"/>
          <w:color w:val="0000FF"/>
          <w:sz w:val="24"/>
        </w:rPr>
        <w:t>六</w:t>
      </w:r>
      <w:r>
        <w:rPr>
          <w:rFonts w:ascii="Arial" w:hAnsi="Arial" w:eastAsia="仿宋_GB2312" w:cs="Arial"/>
          <w:color w:val="0000FF"/>
          <w:sz w:val="24"/>
        </w:rPr>
        <w:t>） 主要试验（或验证）的分析、综述报告，技术经济论证，预期的经济效果；</w:t>
      </w:r>
    </w:p>
    <w:p w14:paraId="410F064D">
      <w:pPr>
        <w:spacing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1、方法验证结果</w:t>
      </w:r>
    </w:p>
    <w:p w14:paraId="7026DD7C">
      <w:pPr>
        <w:spacing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荧光PCR方法经三家实验室（北京奥秘佳得医药科技有限公司、北京中科基因技术股份有限公司、北京云菱计量检测有限公司）验证，敏感性、特异性、精密度等指标均符合要求，具体见验证报告：</w:t>
      </w:r>
    </w:p>
    <w:p w14:paraId="711E824B">
      <w:pPr>
        <w:spacing w:beforeLines="50" w:line="360" w:lineRule="auto"/>
        <w:ind w:firstLine="420" w:firstLineChars="200"/>
        <w:jc w:val="center"/>
        <w:rPr>
          <w:rFonts w:hint="eastAsia" w:ascii="Arial" w:hAnsi="Arial" w:eastAsia="仿宋_GB2312" w:cs="Arial"/>
          <w:szCs w:val="21"/>
        </w:rPr>
      </w:pPr>
      <w:r>
        <w:rPr>
          <w:rFonts w:hint="eastAsia" w:ascii="Arial" w:hAnsi="Arial" w:eastAsia="仿宋_GB2312" w:cs="Arial"/>
          <w:szCs w:val="21"/>
        </w:rPr>
        <w:t>表2 三家单位方法验证总结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107"/>
        <w:gridCol w:w="1655"/>
        <w:gridCol w:w="1058"/>
        <w:gridCol w:w="1701"/>
      </w:tblGrid>
      <w:tr w14:paraId="297ED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4FE95EA6">
            <w:pPr>
              <w:rPr>
                <w:szCs w:val="21"/>
              </w:rPr>
            </w:pPr>
            <w:r>
              <w:rPr>
                <w:rFonts w:hint="eastAsia"/>
                <w:szCs w:val="21"/>
              </w:rPr>
              <w:t>验证单位</w:t>
            </w:r>
          </w:p>
        </w:tc>
        <w:tc>
          <w:tcPr>
            <w:tcW w:w="2107" w:type="dxa"/>
          </w:tcPr>
          <w:p w14:paraId="2A86D39B">
            <w:pPr>
              <w:rPr>
                <w:szCs w:val="21"/>
              </w:rPr>
            </w:pPr>
            <w:r>
              <w:rPr>
                <w:rFonts w:hint="eastAsia"/>
                <w:szCs w:val="21"/>
              </w:rPr>
              <w:t>敏感性（线性范围）</w:t>
            </w:r>
          </w:p>
        </w:tc>
        <w:tc>
          <w:tcPr>
            <w:tcW w:w="1655" w:type="dxa"/>
          </w:tcPr>
          <w:p w14:paraId="15D65B3D">
            <w:pPr>
              <w:rPr>
                <w:szCs w:val="21"/>
              </w:rPr>
            </w:pPr>
            <w:r>
              <w:rPr>
                <w:rFonts w:hint="eastAsia"/>
                <w:szCs w:val="21"/>
              </w:rPr>
              <w:t>敏感性（检测限）</w:t>
            </w:r>
          </w:p>
        </w:tc>
        <w:tc>
          <w:tcPr>
            <w:tcW w:w="1058" w:type="dxa"/>
          </w:tcPr>
          <w:p w14:paraId="2F80F50C">
            <w:pPr>
              <w:rPr>
                <w:szCs w:val="21"/>
              </w:rPr>
            </w:pPr>
            <w:r>
              <w:rPr>
                <w:rFonts w:hint="eastAsia"/>
                <w:szCs w:val="21"/>
              </w:rPr>
              <w:t>特异性</w:t>
            </w:r>
          </w:p>
        </w:tc>
        <w:tc>
          <w:tcPr>
            <w:tcW w:w="1701" w:type="dxa"/>
          </w:tcPr>
          <w:p w14:paraId="7E6E9AA9">
            <w:pPr>
              <w:rPr>
                <w:szCs w:val="21"/>
              </w:rPr>
            </w:pPr>
            <w:r>
              <w:rPr>
                <w:rFonts w:hint="eastAsia"/>
                <w:szCs w:val="21"/>
              </w:rPr>
              <w:t>精密度</w:t>
            </w:r>
          </w:p>
        </w:tc>
      </w:tr>
      <w:tr w14:paraId="0265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188505A0">
            <w:pPr>
              <w:rPr>
                <w:szCs w:val="21"/>
              </w:rPr>
            </w:pPr>
            <w:r>
              <w:rPr>
                <w:rFonts w:hint="eastAsia"/>
                <w:szCs w:val="21"/>
              </w:rPr>
              <w:t>奥秘佳得</w:t>
            </w:r>
          </w:p>
        </w:tc>
        <w:tc>
          <w:tcPr>
            <w:tcW w:w="2107" w:type="dxa"/>
          </w:tcPr>
          <w:p w14:paraId="790D8B5A">
            <w:pPr>
              <w:rPr>
                <w:szCs w:val="21"/>
              </w:rPr>
            </w:pPr>
            <w:r>
              <w:rPr>
                <w:rFonts w:hint="eastAsia"/>
                <w:szCs w:val="21"/>
              </w:rPr>
              <w:t>10</w:t>
            </w:r>
            <w:r>
              <w:rPr>
                <w:rFonts w:hint="eastAsia"/>
                <w:szCs w:val="21"/>
                <w:vertAlign w:val="superscript"/>
              </w:rPr>
              <w:t>8</w:t>
            </w:r>
            <w:r>
              <w:rPr>
                <w:rFonts w:hint="eastAsia"/>
                <w:szCs w:val="21"/>
              </w:rPr>
              <w:t>～10</w:t>
            </w:r>
            <w:r>
              <w:rPr>
                <w:rFonts w:hint="eastAsia"/>
                <w:szCs w:val="21"/>
                <w:vertAlign w:val="superscript"/>
              </w:rPr>
              <w:t>1</w:t>
            </w:r>
            <w:r>
              <w:rPr>
                <w:rFonts w:hint="eastAsia"/>
                <w:szCs w:val="21"/>
              </w:rPr>
              <w:t>ccopies/µl</w:t>
            </w:r>
          </w:p>
        </w:tc>
        <w:tc>
          <w:tcPr>
            <w:tcW w:w="1655" w:type="dxa"/>
          </w:tcPr>
          <w:p w14:paraId="7C2DFC0D">
            <w:pPr>
              <w:rPr>
                <w:szCs w:val="21"/>
              </w:rPr>
            </w:pPr>
            <w:r>
              <w:rPr>
                <w:rFonts w:hint="eastAsia"/>
                <w:szCs w:val="21"/>
              </w:rPr>
              <w:t>10</w:t>
            </w:r>
            <w:r>
              <w:rPr>
                <w:rFonts w:hint="eastAsia"/>
                <w:szCs w:val="21"/>
                <w:vertAlign w:val="superscript"/>
              </w:rPr>
              <w:t>1</w:t>
            </w:r>
            <w:r>
              <w:rPr>
                <w:rFonts w:hint="eastAsia"/>
                <w:szCs w:val="21"/>
              </w:rPr>
              <w:t>copies/µl</w:t>
            </w:r>
          </w:p>
        </w:tc>
        <w:tc>
          <w:tcPr>
            <w:tcW w:w="1058" w:type="dxa"/>
          </w:tcPr>
          <w:p w14:paraId="0F0C3131">
            <w:pPr>
              <w:rPr>
                <w:szCs w:val="21"/>
              </w:rPr>
            </w:pPr>
            <w:r>
              <w:rPr>
                <w:rFonts w:hint="eastAsia"/>
                <w:szCs w:val="21"/>
              </w:rPr>
              <w:t>良好</w:t>
            </w:r>
          </w:p>
        </w:tc>
        <w:tc>
          <w:tcPr>
            <w:tcW w:w="1701" w:type="dxa"/>
          </w:tcPr>
          <w:p w14:paraId="4E22F3AD">
            <w:pPr>
              <w:rPr>
                <w:szCs w:val="21"/>
              </w:rPr>
            </w:pPr>
            <w:r>
              <w:rPr>
                <w:rFonts w:hint="eastAsia"/>
                <w:szCs w:val="21"/>
              </w:rPr>
              <w:t>CV值小于2%</w:t>
            </w:r>
          </w:p>
        </w:tc>
      </w:tr>
      <w:tr w14:paraId="766A5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74146B55">
            <w:pPr>
              <w:rPr>
                <w:szCs w:val="21"/>
              </w:rPr>
            </w:pPr>
            <w:r>
              <w:rPr>
                <w:rFonts w:hint="eastAsia"/>
                <w:szCs w:val="21"/>
              </w:rPr>
              <w:t>中科基因</w:t>
            </w:r>
          </w:p>
        </w:tc>
        <w:tc>
          <w:tcPr>
            <w:tcW w:w="2107" w:type="dxa"/>
          </w:tcPr>
          <w:p w14:paraId="03924305">
            <w:pPr>
              <w:rPr>
                <w:szCs w:val="21"/>
              </w:rPr>
            </w:pPr>
            <w:r>
              <w:rPr>
                <w:rFonts w:hint="eastAsia"/>
                <w:szCs w:val="21"/>
              </w:rPr>
              <w:t>10</w:t>
            </w:r>
            <w:r>
              <w:rPr>
                <w:rFonts w:hint="eastAsia"/>
                <w:szCs w:val="21"/>
                <w:vertAlign w:val="superscript"/>
              </w:rPr>
              <w:t>6</w:t>
            </w:r>
            <w:r>
              <w:rPr>
                <w:rFonts w:hint="eastAsia"/>
                <w:szCs w:val="21"/>
              </w:rPr>
              <w:t>～10</w:t>
            </w:r>
            <w:r>
              <w:rPr>
                <w:rFonts w:hint="eastAsia"/>
                <w:szCs w:val="21"/>
                <w:vertAlign w:val="superscript"/>
              </w:rPr>
              <w:t>1</w:t>
            </w:r>
            <w:r>
              <w:rPr>
                <w:rFonts w:hint="eastAsia"/>
                <w:szCs w:val="21"/>
              </w:rPr>
              <w:t>ccopies/µl</w:t>
            </w:r>
          </w:p>
        </w:tc>
        <w:tc>
          <w:tcPr>
            <w:tcW w:w="1655" w:type="dxa"/>
          </w:tcPr>
          <w:p w14:paraId="4CE793CB">
            <w:pPr>
              <w:rPr>
                <w:szCs w:val="21"/>
              </w:rPr>
            </w:pPr>
            <w:r>
              <w:rPr>
                <w:rFonts w:hint="eastAsia"/>
                <w:szCs w:val="21"/>
              </w:rPr>
              <w:t>10</w:t>
            </w:r>
            <w:r>
              <w:rPr>
                <w:rFonts w:hint="eastAsia"/>
                <w:szCs w:val="21"/>
                <w:vertAlign w:val="superscript"/>
              </w:rPr>
              <w:t>1</w:t>
            </w:r>
            <w:r>
              <w:rPr>
                <w:rFonts w:hint="eastAsia"/>
                <w:szCs w:val="21"/>
              </w:rPr>
              <w:t>copies/µl</w:t>
            </w:r>
          </w:p>
        </w:tc>
        <w:tc>
          <w:tcPr>
            <w:tcW w:w="1058" w:type="dxa"/>
          </w:tcPr>
          <w:p w14:paraId="71AAAA59">
            <w:pPr>
              <w:rPr>
                <w:szCs w:val="21"/>
              </w:rPr>
            </w:pPr>
            <w:r>
              <w:rPr>
                <w:rFonts w:hint="eastAsia"/>
                <w:szCs w:val="21"/>
              </w:rPr>
              <w:t>良好</w:t>
            </w:r>
          </w:p>
        </w:tc>
        <w:tc>
          <w:tcPr>
            <w:tcW w:w="1701" w:type="dxa"/>
          </w:tcPr>
          <w:p w14:paraId="77E874BD">
            <w:pPr>
              <w:rPr>
                <w:szCs w:val="21"/>
              </w:rPr>
            </w:pPr>
            <w:r>
              <w:rPr>
                <w:rFonts w:hint="eastAsia"/>
                <w:szCs w:val="21"/>
              </w:rPr>
              <w:t>CV值小于2%</w:t>
            </w:r>
          </w:p>
        </w:tc>
      </w:tr>
      <w:tr w14:paraId="7340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4351CE37">
            <w:pPr>
              <w:rPr>
                <w:szCs w:val="21"/>
              </w:rPr>
            </w:pPr>
            <w:r>
              <w:rPr>
                <w:rFonts w:hint="eastAsia"/>
                <w:szCs w:val="21"/>
              </w:rPr>
              <w:t>云菱</w:t>
            </w:r>
          </w:p>
        </w:tc>
        <w:tc>
          <w:tcPr>
            <w:tcW w:w="2107" w:type="dxa"/>
          </w:tcPr>
          <w:p w14:paraId="7AF8D45D">
            <w:pPr>
              <w:rPr>
                <w:szCs w:val="21"/>
              </w:rPr>
            </w:pPr>
            <w:r>
              <w:rPr>
                <w:rFonts w:hint="eastAsia"/>
                <w:szCs w:val="21"/>
              </w:rPr>
              <w:t>10</w:t>
            </w:r>
            <w:r>
              <w:rPr>
                <w:rFonts w:hint="eastAsia"/>
                <w:szCs w:val="21"/>
                <w:vertAlign w:val="superscript"/>
              </w:rPr>
              <w:t>8</w:t>
            </w:r>
            <w:r>
              <w:rPr>
                <w:rFonts w:hint="eastAsia"/>
                <w:szCs w:val="21"/>
              </w:rPr>
              <w:t>～10</w:t>
            </w:r>
            <w:r>
              <w:rPr>
                <w:rFonts w:hint="eastAsia"/>
                <w:szCs w:val="21"/>
                <w:vertAlign w:val="superscript"/>
              </w:rPr>
              <w:t>1</w:t>
            </w:r>
            <w:r>
              <w:rPr>
                <w:rFonts w:hint="eastAsia"/>
                <w:szCs w:val="21"/>
              </w:rPr>
              <w:t>ccopies/µl</w:t>
            </w:r>
          </w:p>
        </w:tc>
        <w:tc>
          <w:tcPr>
            <w:tcW w:w="1655" w:type="dxa"/>
          </w:tcPr>
          <w:p w14:paraId="78D21B66">
            <w:pPr>
              <w:rPr>
                <w:szCs w:val="21"/>
              </w:rPr>
            </w:pPr>
            <w:r>
              <w:rPr>
                <w:rFonts w:hint="eastAsia"/>
                <w:szCs w:val="21"/>
              </w:rPr>
              <w:t>10</w:t>
            </w:r>
            <w:r>
              <w:rPr>
                <w:rFonts w:hint="eastAsia"/>
                <w:szCs w:val="21"/>
                <w:vertAlign w:val="superscript"/>
              </w:rPr>
              <w:t>1</w:t>
            </w:r>
            <w:r>
              <w:rPr>
                <w:rFonts w:hint="eastAsia"/>
                <w:szCs w:val="21"/>
              </w:rPr>
              <w:t>copies/µl</w:t>
            </w:r>
          </w:p>
        </w:tc>
        <w:tc>
          <w:tcPr>
            <w:tcW w:w="1058" w:type="dxa"/>
          </w:tcPr>
          <w:p w14:paraId="085E9F74">
            <w:pPr>
              <w:rPr>
                <w:szCs w:val="21"/>
              </w:rPr>
            </w:pPr>
            <w:r>
              <w:rPr>
                <w:rFonts w:hint="eastAsia"/>
                <w:szCs w:val="21"/>
              </w:rPr>
              <w:t>良好</w:t>
            </w:r>
          </w:p>
        </w:tc>
        <w:tc>
          <w:tcPr>
            <w:tcW w:w="1701" w:type="dxa"/>
          </w:tcPr>
          <w:p w14:paraId="0BA741B4">
            <w:pPr>
              <w:rPr>
                <w:szCs w:val="21"/>
              </w:rPr>
            </w:pPr>
            <w:r>
              <w:rPr>
                <w:rFonts w:hint="eastAsia"/>
                <w:szCs w:val="21"/>
              </w:rPr>
              <w:t>CV值小于2%</w:t>
            </w:r>
          </w:p>
        </w:tc>
      </w:tr>
    </w:tbl>
    <w:p w14:paraId="07E8CC73">
      <w:pPr>
        <w:spacing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2、预期的经济效果</w:t>
      </w:r>
    </w:p>
    <w:p w14:paraId="3E11D6AA">
      <w:pPr>
        <w:spacing w:beforeLines="50" w:line="360" w:lineRule="auto"/>
        <w:ind w:firstLine="480" w:firstLineChars="200"/>
        <w:rPr>
          <w:rFonts w:eastAsia="仿宋_GB2312"/>
          <w:sz w:val="24"/>
        </w:rPr>
      </w:pPr>
      <w:r>
        <w:rPr>
          <w:rFonts w:hint="eastAsia" w:eastAsia="仿宋_GB2312"/>
          <w:sz w:val="24"/>
        </w:rPr>
        <w:t xml:space="preserve">2.1本标准建立了接轨国际、国内适用的小鼠轮状病毒检测方法，有效解决了无小鼠轮状病毒检测方法标准的问题。 </w:t>
      </w:r>
    </w:p>
    <w:p w14:paraId="14761468">
      <w:pPr>
        <w:spacing w:beforeLines="50" w:line="360" w:lineRule="auto"/>
        <w:ind w:firstLine="480" w:firstLineChars="200"/>
        <w:rPr>
          <w:rFonts w:eastAsia="仿宋_GB2312"/>
          <w:sz w:val="24"/>
        </w:rPr>
      </w:pPr>
      <w:r>
        <w:rPr>
          <w:rFonts w:hint="eastAsia" w:eastAsia="仿宋_GB2312"/>
          <w:sz w:val="24"/>
        </w:rPr>
        <w:t>2.2方法直接检测小鼠粪便，无需采血或处死动物，更为符合实验动物福利伦理要求。</w:t>
      </w:r>
    </w:p>
    <w:p w14:paraId="1BDEC69A">
      <w:pPr>
        <w:spacing w:beforeLines="50" w:line="360" w:lineRule="auto"/>
        <w:ind w:firstLine="480" w:firstLineChars="200"/>
        <w:rPr>
          <w:rFonts w:eastAsia="仿宋_GB2312"/>
          <w:sz w:val="24"/>
        </w:rPr>
      </w:pPr>
      <w:r>
        <w:rPr>
          <w:rFonts w:hint="eastAsia" w:eastAsia="仿宋_GB2312"/>
          <w:sz w:val="24"/>
        </w:rPr>
        <w:t xml:space="preserve">2.3本标准的实施减少实验动物资源发展中因标准方法差异带来的结果互认问题。 </w:t>
      </w:r>
    </w:p>
    <w:p w14:paraId="34E6E4C7">
      <w:pPr>
        <w:spacing w:beforeLines="50" w:line="360" w:lineRule="auto"/>
        <w:ind w:firstLine="480" w:firstLineChars="200"/>
        <w:rPr>
          <w:rFonts w:eastAsia="仿宋_GB2312"/>
          <w:sz w:val="24"/>
        </w:rPr>
      </w:pPr>
      <w:r>
        <w:rPr>
          <w:rFonts w:hint="eastAsia" w:eastAsia="仿宋_GB2312"/>
          <w:sz w:val="24"/>
        </w:rPr>
        <w:t>2.4解决实验动物进出口过程引入小鼠轮状病毒风险及保证出口动物质量</w:t>
      </w:r>
    </w:p>
    <w:p w14:paraId="2D25489E">
      <w:pPr>
        <w:spacing w:beforeLines="50" w:line="360" w:lineRule="auto"/>
        <w:ind w:firstLine="480" w:firstLineChars="200"/>
        <w:rPr>
          <w:rFonts w:hint="eastAsia" w:eastAsia="仿宋_GB2312"/>
          <w:sz w:val="24"/>
        </w:rPr>
      </w:pPr>
      <w:r>
        <w:rPr>
          <w:rFonts w:hint="eastAsia" w:eastAsia="仿宋_GB2312"/>
          <w:sz w:val="24"/>
        </w:rPr>
        <w:t>2.5在同类分子生物学方法中更为准确经济，有益于推广应用。</w:t>
      </w:r>
    </w:p>
    <w:p w14:paraId="2BF296E1">
      <w:pPr>
        <w:spacing w:beforeLines="50" w:line="360" w:lineRule="auto"/>
        <w:ind w:firstLine="480" w:firstLineChars="200"/>
        <w:rPr>
          <w:rFonts w:hint="eastAsia" w:ascii="Arial" w:hAnsi="Arial" w:eastAsia="仿宋_GB2312" w:cs="Arial"/>
          <w:color w:val="0000FF"/>
          <w:sz w:val="24"/>
        </w:rPr>
      </w:pPr>
      <w:r>
        <w:rPr>
          <w:rFonts w:ascii="Arial" w:hAnsi="Arial" w:eastAsia="仿宋_GB2312" w:cs="Arial"/>
          <w:color w:val="0000FF"/>
          <w:sz w:val="24"/>
        </w:rPr>
        <w:t>（</w:t>
      </w:r>
      <w:r>
        <w:rPr>
          <w:rFonts w:hint="eastAsia" w:ascii="Arial" w:hAnsi="Arial" w:eastAsia="仿宋_GB2312" w:cs="Arial"/>
          <w:color w:val="0000FF"/>
          <w:sz w:val="24"/>
        </w:rPr>
        <w:t>七</w:t>
      </w:r>
      <w:r>
        <w:rPr>
          <w:rFonts w:ascii="Arial" w:hAnsi="Arial" w:eastAsia="仿宋_GB2312" w:cs="Arial"/>
          <w:color w:val="0000FF"/>
          <w:sz w:val="24"/>
        </w:rPr>
        <w:t>） 采用国际标准和国外先进标准的程度，以及与国际、国外同类标准水平的对比情况，或与测试的国外样品、样机的有关数据对比情况；</w:t>
      </w:r>
    </w:p>
    <w:p w14:paraId="5E591448">
      <w:pPr>
        <w:spacing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MRV已列入欧洲实验动物科学协会联合会( FELASA) 、美国杰克逊实验室(JAX)、Charles River 公司、Harlan实验室、Taconic Biosciences 等机构常规监测项目，但无统一有效的分子生物学检测方法。</w:t>
      </w:r>
    </w:p>
    <w:p w14:paraId="345C9E1A">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测试ICLAS国际比对样品（编号PEP2017-49-8，已确认MRV阳性</w:t>
      </w:r>
      <w:r>
        <w:rPr>
          <w:rFonts w:ascii="Arial" w:hAnsi="Arial" w:eastAsia="仿宋_GB2312" w:cs="Arial"/>
          <w:sz w:val="24"/>
        </w:rPr>
        <w:t>）</w:t>
      </w:r>
      <w:r>
        <w:rPr>
          <w:rFonts w:hint="eastAsia" w:ascii="Arial" w:hAnsi="Arial" w:eastAsia="仿宋_GB2312" w:cs="Arial"/>
          <w:sz w:val="24"/>
        </w:rPr>
        <w:t>，结果同样为阳性，表明方法有效（图3）。</w:t>
      </w:r>
    </w:p>
    <w:p w14:paraId="47BC7D81">
      <w:pPr>
        <w:spacing w:beforeLines="50" w:line="360" w:lineRule="auto"/>
        <w:ind w:firstLine="480" w:firstLineChars="200"/>
        <w:rPr>
          <w:rFonts w:hint="eastAsia" w:ascii="Arial" w:hAnsi="Arial" w:eastAsia="仿宋_GB2312" w:cs="Arial"/>
          <w:color w:val="0000FF"/>
          <w:sz w:val="24"/>
        </w:rPr>
      </w:pPr>
      <w:r>
        <w:rPr>
          <w:rFonts w:ascii="Arial" w:hAnsi="Arial" w:eastAsia="仿宋_GB2312" w:cs="Arial"/>
          <w:color w:val="0000FF"/>
          <w:sz w:val="24"/>
        </w:rPr>
        <w:t>（</w:t>
      </w:r>
      <w:r>
        <w:rPr>
          <w:rFonts w:hint="eastAsia" w:ascii="Arial" w:hAnsi="Arial" w:eastAsia="仿宋_GB2312" w:cs="Arial"/>
          <w:color w:val="0000FF"/>
          <w:sz w:val="24"/>
        </w:rPr>
        <w:t>八</w:t>
      </w:r>
      <w:r>
        <w:rPr>
          <w:rFonts w:ascii="Arial" w:hAnsi="Arial" w:eastAsia="仿宋_GB2312" w:cs="Arial"/>
          <w:color w:val="0000FF"/>
          <w:sz w:val="24"/>
        </w:rPr>
        <w:t>） 与有关的现行法律、法规和强制性标准的关系；</w:t>
      </w:r>
    </w:p>
    <w:p w14:paraId="61A49B53">
      <w:pPr>
        <w:spacing w:beforeLines="50" w:line="360" w:lineRule="auto"/>
        <w:ind w:firstLine="480" w:firstLineChars="200"/>
        <w:rPr>
          <w:rFonts w:ascii="Arial" w:hAnsi="Arial" w:eastAsia="仿宋_GB2312" w:cs="Arial"/>
          <w:color w:val="0000FF"/>
          <w:sz w:val="24"/>
        </w:rPr>
      </w:pPr>
      <w:r>
        <w:rPr>
          <w:rFonts w:hint="eastAsia" w:ascii="Arial" w:hAnsi="Arial" w:eastAsia="仿宋_GB2312" w:cs="Arial"/>
          <w:sz w:val="24"/>
        </w:rPr>
        <w:t>本标准与国内现行的法律、法规没有冲突，</w:t>
      </w:r>
      <w:r>
        <w:rPr>
          <w:rFonts w:ascii="Arial" w:hAnsi="Arial" w:eastAsia="仿宋_GB2312" w:cs="Arial"/>
          <w:sz w:val="24"/>
        </w:rPr>
        <w:t>是对现行法律、法规的</w:t>
      </w:r>
      <w:r>
        <w:rPr>
          <w:rFonts w:hint="eastAsia" w:ascii="Arial" w:hAnsi="Arial" w:eastAsia="仿宋_GB2312" w:cs="Arial"/>
          <w:sz w:val="24"/>
        </w:rPr>
        <w:t>有益补充</w:t>
      </w:r>
      <w:r>
        <w:rPr>
          <w:rFonts w:ascii="Arial" w:hAnsi="Arial" w:eastAsia="仿宋_GB2312" w:cs="Arial"/>
          <w:sz w:val="24"/>
        </w:rPr>
        <w:t>。</w:t>
      </w:r>
    </w:p>
    <w:p w14:paraId="1958475F">
      <w:pPr>
        <w:spacing w:beforeLines="50" w:line="360" w:lineRule="auto"/>
        <w:ind w:firstLine="480" w:firstLineChars="200"/>
        <w:rPr>
          <w:rFonts w:hint="eastAsia" w:ascii="Arial" w:hAnsi="Arial" w:eastAsia="仿宋_GB2312" w:cs="Arial"/>
          <w:sz w:val="24"/>
        </w:rPr>
      </w:pPr>
      <w:r>
        <w:rPr>
          <w:rFonts w:ascii="Arial" w:hAnsi="Arial" w:eastAsia="仿宋_GB2312" w:cs="Arial"/>
          <w:sz w:val="24"/>
        </w:rPr>
        <w:t>（</w:t>
      </w:r>
      <w:r>
        <w:rPr>
          <w:rFonts w:hint="eastAsia" w:ascii="Arial" w:hAnsi="Arial" w:eastAsia="仿宋_GB2312" w:cs="Arial"/>
          <w:sz w:val="24"/>
        </w:rPr>
        <w:t>九</w:t>
      </w:r>
      <w:r>
        <w:rPr>
          <w:rFonts w:ascii="Arial" w:hAnsi="Arial" w:eastAsia="仿宋_GB2312" w:cs="Arial"/>
          <w:sz w:val="24"/>
        </w:rPr>
        <w:t>） 重大分歧意见的处理经过和依据；</w:t>
      </w:r>
    </w:p>
    <w:p w14:paraId="51ACE995">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无。</w:t>
      </w:r>
    </w:p>
    <w:p w14:paraId="127F7C94">
      <w:pPr>
        <w:spacing w:beforeLines="50" w:line="360" w:lineRule="auto"/>
        <w:ind w:firstLine="480" w:firstLineChars="200"/>
        <w:rPr>
          <w:rFonts w:hint="eastAsia" w:ascii="Arial" w:hAnsi="Arial" w:eastAsia="仿宋_GB2312" w:cs="Arial"/>
          <w:color w:val="0000FF"/>
          <w:sz w:val="24"/>
        </w:rPr>
      </w:pPr>
      <w:r>
        <w:rPr>
          <w:rFonts w:ascii="Arial" w:hAnsi="Arial" w:eastAsia="仿宋_GB2312" w:cs="Arial"/>
          <w:color w:val="0000FF"/>
          <w:sz w:val="24"/>
        </w:rPr>
        <w:t>（</w:t>
      </w:r>
      <w:r>
        <w:rPr>
          <w:rFonts w:hint="eastAsia" w:ascii="Arial" w:hAnsi="Arial" w:eastAsia="仿宋_GB2312" w:cs="Arial"/>
          <w:color w:val="0000FF"/>
          <w:sz w:val="24"/>
        </w:rPr>
        <w:t>十</w:t>
      </w:r>
      <w:r>
        <w:rPr>
          <w:rFonts w:ascii="Arial" w:hAnsi="Arial" w:eastAsia="仿宋_GB2312" w:cs="Arial"/>
          <w:color w:val="0000FF"/>
          <w:sz w:val="24"/>
        </w:rPr>
        <w:t>） 标准作为强制性标准或推荐性标准的建议；</w:t>
      </w:r>
    </w:p>
    <w:p w14:paraId="701C5C61">
      <w:pPr>
        <w:spacing w:beforeLines="50" w:line="360" w:lineRule="auto"/>
        <w:ind w:firstLine="480" w:firstLineChars="200"/>
        <w:rPr>
          <w:rFonts w:ascii="Arial" w:hAnsi="Arial" w:eastAsia="仿宋_GB2312" w:cs="Arial"/>
          <w:color w:val="0000FF"/>
          <w:sz w:val="24"/>
        </w:rPr>
      </w:pPr>
      <w:r>
        <w:rPr>
          <w:rFonts w:hint="eastAsia" w:ascii="Arial" w:hAnsi="Arial" w:eastAsia="仿宋_GB2312" w:cs="Arial"/>
          <w:sz w:val="24"/>
        </w:rPr>
        <w:t>建议作为推荐性标准。</w:t>
      </w:r>
    </w:p>
    <w:p w14:paraId="7FC2FFFE">
      <w:pPr>
        <w:spacing w:beforeLines="50" w:line="360" w:lineRule="auto"/>
        <w:ind w:firstLine="480" w:firstLineChars="200"/>
        <w:rPr>
          <w:rFonts w:hint="eastAsia" w:ascii="Arial" w:hAnsi="Arial" w:eastAsia="仿宋_GB2312" w:cs="Arial"/>
          <w:sz w:val="24"/>
        </w:rPr>
      </w:pPr>
      <w:r>
        <w:rPr>
          <w:rFonts w:ascii="Arial" w:hAnsi="Arial" w:eastAsia="仿宋_GB2312" w:cs="Arial"/>
          <w:sz w:val="24"/>
        </w:rPr>
        <w:t>（</w:t>
      </w:r>
      <w:r>
        <w:rPr>
          <w:rFonts w:hint="eastAsia" w:ascii="Arial" w:hAnsi="Arial" w:eastAsia="仿宋_GB2312" w:cs="Arial"/>
          <w:sz w:val="24"/>
        </w:rPr>
        <w:t>十一</w:t>
      </w:r>
      <w:r>
        <w:rPr>
          <w:rFonts w:ascii="Arial" w:hAnsi="Arial" w:eastAsia="仿宋_GB2312" w:cs="Arial"/>
          <w:sz w:val="24"/>
        </w:rPr>
        <w:t>） 贯彻标准的要求和措施建议（包括组织措施、技术措施、过渡办法等内容）；</w:t>
      </w:r>
    </w:p>
    <w:p w14:paraId="0D65EA8D">
      <w:pPr>
        <w:spacing w:beforeLines="50" w:line="360" w:lineRule="auto"/>
        <w:ind w:firstLine="480" w:firstLineChars="200"/>
        <w:rPr>
          <w:rFonts w:eastAsia="仿宋_GB2312"/>
          <w:color w:val="000000"/>
          <w:sz w:val="24"/>
        </w:rPr>
      </w:pPr>
      <w:r>
        <w:rPr>
          <w:rFonts w:eastAsia="仿宋_GB2312"/>
          <w:color w:val="000000"/>
          <w:sz w:val="24"/>
        </w:rPr>
        <w:t>实施主体应包含：</w:t>
      </w:r>
      <w:r>
        <w:rPr>
          <w:rFonts w:hint="eastAsia" w:eastAsia="仿宋_GB2312"/>
          <w:color w:val="000000"/>
          <w:sz w:val="24"/>
        </w:rPr>
        <w:t>实验动物质量检测单位及生产、使用、科研单位</w:t>
      </w:r>
      <w:r>
        <w:rPr>
          <w:rFonts w:eastAsia="仿宋_GB2312"/>
          <w:color w:val="000000"/>
          <w:sz w:val="24"/>
        </w:rPr>
        <w:t>。</w:t>
      </w:r>
    </w:p>
    <w:p w14:paraId="5E365153">
      <w:pPr>
        <w:spacing w:beforeLines="50" w:line="360" w:lineRule="auto"/>
        <w:ind w:firstLine="480" w:firstLineChars="200"/>
        <w:rPr>
          <w:rFonts w:ascii="Arial" w:hAnsi="Arial" w:eastAsia="仿宋_GB2312" w:cs="Arial"/>
          <w:sz w:val="24"/>
        </w:rPr>
      </w:pPr>
      <w:r>
        <w:rPr>
          <w:rFonts w:eastAsia="仿宋_GB2312"/>
          <w:color w:val="000000"/>
          <w:sz w:val="24"/>
        </w:rPr>
        <w:t>如颁布实施，建议对有关人员进行宣贯培训。</w:t>
      </w:r>
    </w:p>
    <w:p w14:paraId="3E49689F">
      <w:pPr>
        <w:spacing w:beforeLines="50" w:line="360" w:lineRule="auto"/>
        <w:ind w:firstLine="480" w:firstLineChars="200"/>
        <w:rPr>
          <w:rFonts w:hint="eastAsia" w:ascii="Arial" w:hAnsi="Arial" w:eastAsia="仿宋_GB2312" w:cs="Arial"/>
          <w:sz w:val="24"/>
        </w:rPr>
      </w:pPr>
      <w:r>
        <w:rPr>
          <w:rFonts w:ascii="Arial" w:hAnsi="Arial" w:eastAsia="仿宋_GB2312" w:cs="Arial"/>
          <w:sz w:val="24"/>
        </w:rPr>
        <w:t>（</w:t>
      </w:r>
      <w:r>
        <w:rPr>
          <w:rFonts w:hint="eastAsia" w:ascii="Arial" w:hAnsi="Arial" w:eastAsia="仿宋_GB2312" w:cs="Arial"/>
          <w:sz w:val="24"/>
        </w:rPr>
        <w:t>十二</w:t>
      </w:r>
      <w:r>
        <w:rPr>
          <w:rFonts w:ascii="Arial" w:hAnsi="Arial" w:eastAsia="仿宋_GB2312" w:cs="Arial"/>
          <w:sz w:val="24"/>
        </w:rPr>
        <w:t>） 废止现行有关标准的建议；</w:t>
      </w:r>
    </w:p>
    <w:p w14:paraId="7D5B7FD2">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无。</w:t>
      </w:r>
    </w:p>
    <w:p w14:paraId="2C5F00F1">
      <w:pPr>
        <w:spacing w:beforeLines="50" w:line="360" w:lineRule="auto"/>
        <w:ind w:firstLine="480" w:firstLineChars="200"/>
        <w:rPr>
          <w:rFonts w:hint="eastAsia" w:ascii="Arial" w:hAnsi="Arial" w:eastAsia="仿宋_GB2312" w:cs="Arial"/>
          <w:sz w:val="24"/>
        </w:rPr>
      </w:pPr>
      <w:r>
        <w:rPr>
          <w:rFonts w:ascii="Arial" w:hAnsi="Arial" w:eastAsia="仿宋_GB2312" w:cs="Arial"/>
          <w:sz w:val="24"/>
        </w:rPr>
        <w:t>（十</w:t>
      </w:r>
      <w:r>
        <w:rPr>
          <w:rFonts w:hint="eastAsia" w:ascii="Arial" w:hAnsi="Arial" w:eastAsia="仿宋_GB2312" w:cs="Arial"/>
          <w:sz w:val="24"/>
        </w:rPr>
        <w:t>三</w:t>
      </w:r>
      <w:r>
        <w:rPr>
          <w:rFonts w:ascii="Arial" w:hAnsi="Arial" w:eastAsia="仿宋_GB2312" w:cs="Arial"/>
          <w:sz w:val="24"/>
        </w:rPr>
        <w:t xml:space="preserve">） 其他应予说明的事项。 </w:t>
      </w:r>
    </w:p>
    <w:p w14:paraId="72D26697">
      <w:pPr>
        <w:spacing w:beforeLines="50" w:line="360" w:lineRule="auto"/>
        <w:ind w:firstLine="480" w:firstLineChars="200"/>
        <w:rPr>
          <w:rFonts w:ascii="Arial" w:hAnsi="Arial" w:eastAsia="仿宋_GB2312" w:cs="Arial"/>
          <w:sz w:val="24"/>
        </w:rPr>
      </w:pPr>
      <w:r>
        <w:rPr>
          <w:rFonts w:hint="eastAsia" w:ascii="Arial" w:hAnsi="Arial" w:eastAsia="仿宋_GB2312" w:cs="Arial"/>
          <w:sz w:val="24"/>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A2ZjA5Mjc1NTEyZGY5OTFhMjI2ZWI2MTFlY2RlMTAifQ=="/>
  </w:docVars>
  <w:rsids>
    <w:rsidRoot w:val="00172A27"/>
    <w:rsid w:val="0007709A"/>
    <w:rsid w:val="000C5A90"/>
    <w:rsid w:val="00143FD3"/>
    <w:rsid w:val="00153F4C"/>
    <w:rsid w:val="00156311"/>
    <w:rsid w:val="00287B8C"/>
    <w:rsid w:val="002A2BAF"/>
    <w:rsid w:val="003759B0"/>
    <w:rsid w:val="00395982"/>
    <w:rsid w:val="003B405B"/>
    <w:rsid w:val="005F0D6B"/>
    <w:rsid w:val="00621366"/>
    <w:rsid w:val="006A6108"/>
    <w:rsid w:val="006E3FF8"/>
    <w:rsid w:val="0070772F"/>
    <w:rsid w:val="00716F8E"/>
    <w:rsid w:val="00720ED7"/>
    <w:rsid w:val="00740442"/>
    <w:rsid w:val="007E57C9"/>
    <w:rsid w:val="00A2551E"/>
    <w:rsid w:val="00A90EEE"/>
    <w:rsid w:val="00C45AA1"/>
    <w:rsid w:val="00C80CAA"/>
    <w:rsid w:val="00C83694"/>
    <w:rsid w:val="00CA50B5"/>
    <w:rsid w:val="00D31564"/>
    <w:rsid w:val="00E953D9"/>
    <w:rsid w:val="00F9216A"/>
    <w:rsid w:val="00FD584E"/>
    <w:rsid w:val="18C7121F"/>
    <w:rsid w:val="6FC65CCB"/>
    <w:rsid w:val="77A00D1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10">
    <w:name w:val="Default Paragraph Fon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3">
    <w:name w:val="annotation text"/>
    <w:basedOn w:val="1"/>
    <w:unhideWhenUsed/>
    <w:uiPriority w:val="99"/>
    <w:pPr>
      <w:jc w:val="left"/>
    </w:pPr>
  </w:style>
  <w:style w:type="paragraph" w:styleId="4">
    <w:name w:val="Balloon Text"/>
    <w:basedOn w:val="1"/>
    <w:link w:val="12"/>
    <w:semiHidden/>
    <w:unhideWhenUsed/>
    <w:qFormat/>
    <w:uiPriority w:val="99"/>
    <w:rPr>
      <w:sz w:val="18"/>
      <w:szCs w:val="18"/>
    </w:rPr>
  </w:style>
  <w:style w:type="paragraph" w:styleId="5">
    <w:name w:val="footer"/>
    <w:basedOn w:val="1"/>
    <w:link w:val="14"/>
    <w:semiHidden/>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封面标准名称"/>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12">
    <w:name w:val="批注框文本 Char"/>
    <w:basedOn w:val="10"/>
    <w:link w:val="4"/>
    <w:semiHidden/>
    <w:qFormat/>
    <w:uiPriority w:val="99"/>
    <w:rPr>
      <w:kern w:val="2"/>
      <w:sz w:val="18"/>
      <w:szCs w:val="18"/>
    </w:rPr>
  </w:style>
  <w:style w:type="character" w:customStyle="1" w:styleId="13">
    <w:name w:val="页眉 Char"/>
    <w:basedOn w:val="10"/>
    <w:link w:val="6"/>
    <w:semiHidden/>
    <w:qFormat/>
    <w:uiPriority w:val="99"/>
    <w:rPr>
      <w:kern w:val="2"/>
      <w:sz w:val="18"/>
      <w:szCs w:val="18"/>
    </w:rPr>
  </w:style>
  <w:style w:type="character" w:customStyle="1" w:styleId="14">
    <w:name w:val="页脚 Char"/>
    <w:basedOn w:val="10"/>
    <w:link w:val="5"/>
    <w:semiHidden/>
    <w:qFormat/>
    <w:uiPriority w:val="99"/>
    <w:rPr>
      <w:kern w:val="2"/>
      <w:sz w:val="18"/>
      <w:szCs w:val="18"/>
    </w:rPr>
  </w:style>
  <w:style w:type="character" w:customStyle="1" w:styleId="15">
    <w:name w:val="其他_"/>
    <w:link w:val="16"/>
    <w:qFormat/>
    <w:uiPriority w:val="0"/>
    <w:rPr>
      <w:rFonts w:ascii="宋体" w:hAnsi="宋体" w:cs="宋体"/>
    </w:rPr>
  </w:style>
  <w:style w:type="paragraph" w:customStyle="1" w:styleId="16">
    <w:name w:val="其他"/>
    <w:basedOn w:val="1"/>
    <w:link w:val="15"/>
    <w:qFormat/>
    <w:uiPriority w:val="0"/>
    <w:pPr>
      <w:spacing w:line="329" w:lineRule="auto"/>
      <w:ind w:firstLine="200"/>
      <w:jc w:val="left"/>
    </w:pPr>
    <w:rPr>
      <w:rFonts w:ascii="宋体" w:hAnsi="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ompany>
  <Pages>7</Pages>
  <Words>2747</Words>
  <Characters>3238</Characters>
  <Lines>8</Lines>
  <Paragraphs>7</Paragraphs>
  <TotalTime>4</TotalTime>
  <ScaleCrop>false</ScaleCrop>
  <LinksUpToDate>false</LinksUpToDate>
  <CharactersWithSpaces>3307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2023-10-31T06:46:00Z</dcterms:created>
  <dc:creator>kandy</dc:creator>
  <cp:lastModifiedBy>耳东火华 </cp:lastModifiedBy>
  <dcterms:modified xsi:type="dcterms:W3CDTF">2024-07-19T03:10:12Z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A0AA45FBBE074F6BA488174BB9671107_12</vt:lpwstr>
  </property>
</Properties>
</file>